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Llorca Jesus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65" w:lineRule="auto"/>
        <w:rPr>
          <w:sz w:val="20"/>
          <w:szCs w:val="20"/>
          <w:color w:val="auto"/>
        </w:rPr>
      </w:pPr>
      <w:r>
        <w:rPr>
          <w:rFonts w:ascii="Times New Roman" w:cs="Times New Roman" w:eastAsia="Times New Roman" w:hAnsi="Times New Roman"/>
          <w:sz w:val="17"/>
          <w:szCs w:val="17"/>
          <w:color w:val="0000FF"/>
        </w:rPr>
        <w:t>C/O SEACOR MARINE HOLDINGS INC. 12121 WICKCHESTER LANE, SUITE 500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77079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SEACOR Marine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SMHI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0000FF"/>
              </w:rPr>
              <w:t>EVP &amp; CFO</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14,461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8.03</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497,406</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1,649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495,757</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$8.00 to $8.16,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of 14,461 shares occurred automatically pursuant to a Rule 10b5-1 trading plan adopted by the Reporting Person on March 12, 2026.</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$8.00 to $8.09,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of 1,649 shares occurred automatically pursuant to a Rule 10b5-1 trading plan adopted by the Reporting Person on March 12, 2026.</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Andrew H. Everett II,</w:t>
            </w:r>
          </w:p>
        </w:tc>
        <w:tc>
          <w:tcPr>
            <w:tcW w:w="3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06/30/2026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5427" TargetMode="External"/><Relationship Id="rId14" Type="http://schemas.openxmlformats.org/officeDocument/2006/relationships/hyperlink" Target="http://www.sec.gov/cgi-bin/browse-edgar?action=getcompany&amp;CIK=00016903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2026-06-30T17:34:30Z</dcterms:created>
  <dcterms:modified xsi:type="dcterms:W3CDTF">2026-06-30T17:34:30Z</dcterms:modified>
</cp:coreProperties>
</file>