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smhi-20260729.htm"/>
      <w:bookmarkStart w:id="1" w:name="kssmhi20260729"/>
      <w:bookmarkEnd w:id="0"/>
      <w:bookmarkEnd w:id="1"/>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FORM 8-K</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center"/>
        <w:rPr>
          <w:rFonts w:ascii="Times New Roman" w:hAnsi="Times New Roman"/>
          <w:color w:val="000000"/>
          <w:sz w:val="20"/>
        </w:rPr>
      </w:pPr>
      <w:r>
        <w:rPr>
          <w:rFonts w:ascii="Times New Roman" w:hAnsi="Times New Roman"/>
          <w:color w:val="000000"/>
          <w:sz w:val="20"/>
        </w:rPr>
        <w:t>Date of Report (Date of earliest event reported): July 29, 2026</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283"/>
              <w:jc w:val="left"/>
              <w:rPr>
                <w:sz w:val="4"/>
                <w:szCs w:val="4"/>
              </w:rPr>
            </w:pPr>
            <w:r>
              <w:rPr>
                <w:sz w:val="4"/>
                <w:szCs w:val="4"/>
              </w:rPr>
            </w:r>
          </w:p>
        </w:tc>
      </w:tr>
      <w:tr>
        <w:trPr/>
        <w:tc>
          <w:tcPr>
            <w:tcW w:w="4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SEACOR Marine Holdings Inc.</w:t>
            </w:r>
          </w:p>
        </w:tc>
      </w:tr>
      <w:tr>
        <w:trPr/>
        <w:tc>
          <w:tcPr>
            <w:tcW w:w="4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tc>
      </w:tr>
    </w:tbl>
    <w:tbl>
      <w:tblPr>
        <w:tblW w:w="5133" w:type="dxa"/>
        <w:jc w:val="left"/>
        <w:tblInd w:w="0" w:type="dxa"/>
        <w:tblLayout w:type="fixed"/>
        <w:tblCellMar>
          <w:top w:w="28" w:type="dxa"/>
          <w:left w:w="28" w:type="dxa"/>
          <w:bottom w:w="28" w:type="dxa"/>
          <w:right w:w="28" w:type="dxa"/>
        </w:tblCellMar>
      </w:tblPr>
      <w:tblGrid>
        <w:gridCol w:w="2296"/>
        <w:gridCol w:w="1186"/>
        <w:gridCol w:w="1651"/>
      </w:tblGrid>
      <w:tr>
        <w:trPr/>
        <w:tc>
          <w:tcPr>
            <w:tcW w:w="22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001-37966</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47-2564547</w:t>
            </w:r>
          </w:p>
        </w:tc>
      </w:tr>
      <w:tr>
        <w:trPr/>
        <w:tc>
          <w:tcPr>
            <w:tcW w:w="229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1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(Commission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 Number)</w:t>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bl>
    <w:tbl>
      <w:tblPr>
        <w:tblW w:w="5702" w:type="dxa"/>
        <w:jc w:val="left"/>
        <w:tblInd w:w="0" w:type="dxa"/>
        <w:tblLayout w:type="fixed"/>
        <w:tblCellMar>
          <w:top w:w="28" w:type="dxa"/>
          <w:left w:w="28" w:type="dxa"/>
          <w:bottom w:w="28" w:type="dxa"/>
          <w:right w:w="28" w:type="dxa"/>
        </w:tblCellMar>
      </w:tblPr>
      <w:tblGrid>
        <w:gridCol w:w="4276"/>
        <w:gridCol w:w="1426"/>
      </w:tblGrid>
      <w:tr>
        <w:trPr/>
        <w:tc>
          <w:tcPr>
            <w:tcW w:w="427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4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12121 Wickchester Lane, Suite 500, Houston, TX</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77079</w:t>
            </w:r>
          </w:p>
        </w:tc>
      </w:tr>
      <w:tr>
        <w:trPr/>
        <w:tc>
          <w:tcPr>
            <w:tcW w:w="4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r>
        <w:trPr/>
        <w:tc>
          <w:tcPr>
            <w:tcW w:w="4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Registrant's telephone number, including area code</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(346)</w:t>
            </w:r>
            <w:r>
              <w:rPr>
                <w:rFonts w:ascii="Times New Roman" w:hAnsi="Times New Roman"/>
                <w:color w:val="000000"/>
                <w:sz w:val="20"/>
              </w:rPr>
              <w:t xml:space="preserve"> </w:t>
            </w:r>
            <w:r>
              <w:rPr>
                <w:rFonts w:ascii="Times New Roman" w:hAnsi="Times New Roman"/>
                <w:b/>
                <w:color w:val="000000"/>
                <w:sz w:val="20"/>
              </w:rPr>
              <w:t>980-1700</w:t>
            </w:r>
          </w:p>
        </w:tc>
      </w:tr>
      <w:tr>
        <w:trPr/>
        <w:tc>
          <w:tcPr>
            <w:tcW w:w="4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both"/>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see</w:t>
      </w:r>
      <w:r>
        <w:rPr>
          <w:rFonts w:ascii="Times New Roman" w:hAnsi="Times New Roman"/>
          <w:color w:val="000000"/>
          <w:sz w:val="20"/>
        </w:rPr>
        <w:t xml:space="preserve"> General Instruction A.2. below):</w:t>
      </w:r>
    </w:p>
    <w:tbl>
      <w:tblPr>
        <w:tblW w:w="9621" w:type="dxa"/>
        <w:jc w:val="left"/>
        <w:tblInd w:w="0" w:type="dxa"/>
        <w:tblLayout w:type="fixed"/>
        <w:tblCellMar>
          <w:top w:w="28" w:type="dxa"/>
          <w:left w:w="28" w:type="dxa"/>
          <w:bottom w:w="28" w:type="dxa"/>
          <w:right w:w="28" w:type="dxa"/>
        </w:tblCellMar>
      </w:tblPr>
      <w:tblGrid>
        <w:gridCol w:w="124"/>
        <w:gridCol w:w="31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Securities registered pursuant to Section 12(b) of the Act:</w:t>
      </w:r>
    </w:p>
    <w:tbl>
      <w:tblPr>
        <w:tblW w:w="8988" w:type="dxa"/>
        <w:jc w:val="left"/>
        <w:tblInd w:w="0" w:type="dxa"/>
        <w:tblLayout w:type="fixed"/>
        <w:tblCellMar>
          <w:top w:w="28" w:type="dxa"/>
          <w:left w:w="28" w:type="dxa"/>
          <w:bottom w:w="28" w:type="dxa"/>
          <w:right w:w="28" w:type="dxa"/>
        </w:tblCellMar>
      </w:tblPr>
      <w:tblGrid>
        <w:gridCol w:w="3466"/>
        <w:gridCol w:w="1696"/>
        <w:gridCol w:w="3826"/>
      </w:tblGrid>
      <w:tr>
        <w:trPr/>
        <w:tc>
          <w:tcPr>
            <w:tcW w:w="346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Title of each class</w:t>
            </w:r>
          </w:p>
        </w:tc>
        <w:tc>
          <w:tcPr>
            <w:tcW w:w="169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Trading Symbol(s)</w:t>
            </w:r>
          </w:p>
        </w:tc>
        <w:tc>
          <w:tcPr>
            <w:tcW w:w="382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Name of each exchange on which registered</w:t>
            </w:r>
          </w:p>
        </w:tc>
      </w:tr>
      <w:tr>
        <w:trPr/>
        <w:tc>
          <w:tcPr>
            <w:tcW w:w="346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Common stock, par value $0.01 per share</w:t>
            </w:r>
          </w:p>
        </w:tc>
        <w:tc>
          <w:tcPr>
            <w:tcW w:w="169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SMHI</w:t>
            </w:r>
          </w:p>
        </w:tc>
        <w:tc>
          <w:tcPr>
            <w:tcW w:w="382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New York Stock Exchange (“NYSE”)</w:t>
            </w:r>
          </w:p>
          <w:p>
            <w:pPr>
              <w:pStyle w:val="TableContents"/>
              <w:bidi w:val="0"/>
              <w:spacing w:before="120" w:after="283"/>
              <w:jc w:val="both"/>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set forth in (and incorporated by reference into) this Item 2.02 shall not be deemed “filed” for purposes of Section 18 of the Securities Exchange Act of 1934, as amended (the “Exchange Act”) or otherwise subject to the liabilities of that Section. The information set forth in (and incorporated by reference into) this Item 2.02 shall not be incorporated by reference into any filing under the Securities Act of 1933, as amended (the “Securities Act”), or the Exchange Act, except as shall be expressly set forth by specific reference in such a filing.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29, 2026, SEACOR Marine Holdings Inc. (the “Company”) issued a press release setting forth its earnings for the three and six months ended June 30, 2026 (the “Earnings Release”).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copy of the Earnings Release is attached hereto as Exhibit 99.1 and hereby incorporated by reference.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disclosed in the Earnings Release attached hereto as Exhibit 99.1, the Board of Directors of the Company, with the assistance of independent financial advisors, is conducting a review of strategic alternatives to maximize shareholder value. Strategic alternatives being evaluated may include a sale of the Company, merger, other business combinations, sale of assets, or other transactions aimed at maximizing value for shareholders.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not established a timetable for completion of the review process and does not intend to disclose developments unless and until further disclosure is determined to be appropriate or required.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712" w:type="dxa"/>
        <w:jc w:val="left"/>
        <w:tblInd w:w="0" w:type="dxa"/>
        <w:tblLayout w:type="fixed"/>
        <w:tblCellMar>
          <w:top w:w="28" w:type="dxa"/>
          <w:left w:w="28" w:type="dxa"/>
          <w:bottom w:w="28" w:type="dxa"/>
          <w:right w:w="28" w:type="dxa"/>
        </w:tblCellMar>
      </w:tblPr>
      <w:tblGrid>
        <w:gridCol w:w="1066"/>
        <w:gridCol w:w="6646"/>
      </w:tblGrid>
      <w:tr>
        <w:trPr/>
        <w:tc>
          <w:tcPr>
            <w:tcW w:w="106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66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smhi-ex99_1.htm">
              <w:r>
                <w:rPr>
                  <w:rStyle w:val="InternetLink"/>
                  <w:rFonts w:ascii="Times New Roman" w:hAnsi="Times New Roman"/>
                  <w:color w:val="0000FF"/>
                  <w:sz w:val="20"/>
                  <w:u w:val="single"/>
                </w:rPr>
                <w:t>Press Release of SEACOR Marine Holdings Inc. dated July 29,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343" w:type="dxa"/>
        <w:jc w:val="left"/>
        <w:tblInd w:w="0" w:type="dxa"/>
        <w:tblLayout w:type="fixed"/>
        <w:tblCellMar>
          <w:top w:w="28" w:type="dxa"/>
          <w:left w:w="28" w:type="dxa"/>
          <w:bottom w:w="28" w:type="dxa"/>
          <w:right w:w="28" w:type="dxa"/>
        </w:tblCellMar>
      </w:tblPr>
      <w:tblGrid>
        <w:gridCol w:w="1231"/>
        <w:gridCol w:w="406"/>
        <w:gridCol w:w="3706"/>
      </w:tblGrid>
      <w:tr>
        <w:trPr/>
        <w:tc>
          <w:tcPr>
            <w:tcW w:w="123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SEACOR Marine Holdings Inc.</w:t>
            </w:r>
          </w:p>
        </w:tc>
      </w:tr>
      <w:tr>
        <w:trPr/>
        <w:tc>
          <w:tcPr>
            <w:tcW w:w="1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29,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0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John Gellert</w:t>
            </w:r>
          </w:p>
        </w:tc>
      </w:tr>
      <w:tr>
        <w:trPr/>
        <w:tc>
          <w:tcPr>
            <w:tcW w:w="1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John Gellert</w:t>
            </w:r>
          </w:p>
        </w:tc>
      </w:tr>
      <w:tr>
        <w:trPr/>
        <w:tc>
          <w:tcPr>
            <w:tcW w:w="1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smhi-ex99_1.htm"/>
      <w:bookmarkStart w:id="3" w:name="kssmhiex99_1"/>
      <w:bookmarkEnd w:id="2"/>
      <w:bookmarkEnd w:id="3"/>
      <w:r>
        <w:rPr>
          <w:rFonts w:ascii="Times New Roman" w:hAnsi="Times New Roman"/>
          <w:b/>
          <w:color w:val="000000"/>
          <w:sz w:val="20"/>
        </w:rPr>
        <w:t>Exhibit 99.1</w:t>
      </w:r>
      <w:r>
        <w:br w:type="page"/>
      </w:r>
    </w:p>
    <w:tbl>
      <w:tblPr>
        <w:tblW w:w="4662" w:type="dxa"/>
        <w:jc w:val="left"/>
        <w:tblInd w:w="0" w:type="dxa"/>
        <w:tblLayout w:type="fixed"/>
        <w:tblCellMar>
          <w:top w:w="28" w:type="dxa"/>
          <w:left w:w="28" w:type="dxa"/>
          <w:bottom w:w="28" w:type="dxa"/>
          <w:right w:w="28" w:type="dxa"/>
        </w:tblCellMar>
      </w:tblPr>
      <w:tblGrid>
        <w:gridCol w:w="2951"/>
        <w:gridCol w:w="1711"/>
      </w:tblGrid>
      <w:tr>
        <w:trPr/>
        <w:tc>
          <w:tcPr>
            <w:tcW w:w="295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295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8097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9750" cy="638175"/>
                          </a:xfrm>
                          <a:prstGeom prst="rect">
                            <a:avLst/>
                          </a:prstGeom>
                        </pic:spPr>
                      </pic:pic>
                    </a:graphicData>
                  </a:graphic>
                </wp:inline>
              </w:drawing>
            </w:r>
          </w:p>
        </w:tc>
        <w:tc>
          <w:tcPr>
            <w:tcW w:w="1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PRESS RELEASE</w:t>
            </w:r>
          </w:p>
        </w:tc>
      </w:tr>
    </w:tbl>
    <w:p>
      <w:pPr>
        <w:pStyle w:val="TextBody"/>
        <w:bidi w:val="0"/>
        <w:jc w:val="center"/>
        <w:rPr>
          <w:rFonts w:ascii="Times New Roman" w:hAnsi="Times New Roman"/>
          <w:b/>
          <w:color w:val="000000"/>
          <w:sz w:val="24"/>
        </w:rPr>
      </w:pPr>
      <w:r>
        <w:rPr>
          <w:rFonts w:ascii="Times New Roman" w:hAnsi="Times New Roman"/>
          <w:b/>
          <w:color w:val="000000"/>
          <w:sz w:val="24"/>
        </w:rPr>
        <w:t>SEACOR MARINE ANNOUNCES SECOND QUARTER 2026 RESULTS AND STRATEGIC ALTERNATIVES REVIEW</w:t>
      </w:r>
    </w:p>
    <w:p>
      <w:pPr>
        <w:pStyle w:val="TextBody"/>
        <w:bidi w:val="0"/>
        <w:jc w:val="both"/>
        <w:rPr>
          <w:rFonts w:ascii="Times New Roman" w:hAnsi="Times New Roman"/>
          <w:color w:val="000000"/>
          <w:sz w:val="20"/>
        </w:rPr>
      </w:pPr>
      <w:r>
        <w:rPr>
          <w:rFonts w:ascii="Times New Roman" w:hAnsi="Times New Roman"/>
          <w:color w:val="000000"/>
          <w:sz w:val="20"/>
        </w:rPr>
        <w:t>Houston, Texas</w:t>
      </w:r>
    </w:p>
    <w:p>
      <w:pPr>
        <w:pStyle w:val="TextBody"/>
        <w:bidi w:val="0"/>
        <w:jc w:val="both"/>
        <w:rPr>
          <w:rFonts w:ascii="Times New Roman" w:hAnsi="Times New Roman"/>
          <w:color w:val="000000"/>
          <w:sz w:val="20"/>
        </w:rPr>
      </w:pPr>
      <w:r>
        <w:rPr>
          <w:rFonts w:ascii="Times New Roman" w:hAnsi="Times New Roman"/>
          <w:color w:val="000000"/>
          <w:sz w:val="20"/>
        </w:rPr>
        <w:t>July 29, 2026</w:t>
      </w:r>
    </w:p>
    <w:p>
      <w:pPr>
        <w:pStyle w:val="TextBody"/>
        <w:bidi w:val="0"/>
        <w:jc w:val="both"/>
        <w:rPr>
          <w:rFonts w:ascii="Times New Roman" w:hAnsi="Times New Roman"/>
          <w:sz w:val="20"/>
        </w:rPr>
      </w:pPr>
      <w:r>
        <w:rPr>
          <w:rFonts w:ascii="Times New Roman" w:hAnsi="Times New Roman"/>
          <w:b/>
          <w:color w:val="000000"/>
          <w:sz w:val="20"/>
        </w:rPr>
        <w:t xml:space="preserve">FOR IMMEDIATE RELEASE - </w:t>
      </w:r>
      <w:r>
        <w:rPr>
          <w:rFonts w:ascii="Times New Roman" w:hAnsi="Times New Roman"/>
          <w:color w:val="000000"/>
          <w:sz w:val="20"/>
        </w:rPr>
        <w:t>SEACOR Marine Holdings Inc. (NYSE: SMHI) (the “Company” or “SEACOR Marine”), a leading provider of marine and support transportation services to offshore energy facilities worldwide, today announced results for its second quarter ended June 30, 2026, and separately announced that its Board of Directors (the “Board”) is evaluating potential strategic alternatives to maximize shareholder value.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Second Quarter 2026 Results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SEACOR Marine’s consolidated operating revenues for the second quarter of 2026 were $54.6 million, operating income was $16.0 million, and direct vessel profit (“DVP”)</w:t>
      </w:r>
      <w:r>
        <w:rPr>
          <w:rFonts w:ascii="Times New Roman" w:hAnsi="Times New Roman"/>
          <w:color w:val="000000"/>
          <w:sz w:val="13"/>
        </w:rPr>
        <w:t>(1)</w:t>
      </w:r>
      <w:r>
        <w:rPr>
          <w:rFonts w:ascii="Times New Roman" w:hAnsi="Times New Roman"/>
          <w:color w:val="000000"/>
          <w:sz w:val="20"/>
        </w:rPr>
        <w:t xml:space="preserve"> was $7.9 million. This compares to consolidated operating revenues of $60.8 million, operating income of $6.1 million, and DVP of $11.3 million in the second quarter of 2025, and consolidated operating revenues of $44.3 million, operating loss of $6.4 million, and DVP of $6.7 million in the first quarter of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Notable second quarter items include: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10.2% decrease in revenues from the second quarter of 2025 and 23.4% increase from the first quarter of 2026.</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Average day rates of $20,227, compared to $19,731 in the second quarter of 2025 and $18,199 in the first quarter of 2026.</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68% utilization, compared to 68% in the second quarter of 2025 and 59% in the first quarter of 2026.</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DVP margin of 14.5%, compared to 18.6% in the second quarter of 2025 and 15.2% in the first quarter of 2026.</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During the second quarter of 2026, the Company completed the sale of five vessels and other equipment for net cash proceeds of $44.7 million and after transaction costs, recognized gains of $31.3 million.</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During the quarter, administrative and general costs increased due to professional fees associated with the termination of certain prior engagements; excluding this one-time charge, the Company’s administrative and general costs were $9.3 million for the second quarter of 2026, compared to $12.0 million for the second quarter of 2025 and $10.0 million for the first quarter of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second quarter of 2026, net income was $3.3 million ($0.13 earnings per basic share and $0.12 earnings per diluted share). This compares to a net loss for the second quarter of 2025 of $6.7 million ($0.26 loss per basic and diluted share). Sequentially, the second quarter of 2026 results compare to a net loss of $15.8 million ($0.61 loss per basic and diluted share) in the first quarter of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Chief Executive Officer John Gellert commented:</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0"/>
        </w:rPr>
        <w:t>Our second quarter results reflect improved utilization following vessel repositioning and contract commencements. During the quarter, we completed the sale of five vessels as part of our fleet optimization strategy and continued to focus on maximizing fleet efficiency and positioning the business to benefit from improving offshore activity in several of our core international markets.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With regards to the Middle East, the Company continued to observe increased labor and insurance costs in the region because of the conflict, and a general softening in offshore activity while customers wait for operating conditions to improve. The maintenance scope of work for our two premium liftboats in the region continues. Based on observed delays due primarily to the ongoing conflict, we do not expect either of these vessels to operate during the third quarter of 2026. At the end of the second quarter, excluding the two liftboats, we had eight vessels in the region, of which six have continued to operate for our customers in Saudi Arabia and Qatar. The timing of a full recovery in this region will depend on a durable resolution to the conflict.</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Looking ahead, we remain constructive on opportunities across several of our international markets while maintaining a disciplined approach to operational execution. We believe SEACOR Marine is well positioned to continue supporting our customers and participating in incremental demand from offshore energy projects.”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Strategic Review Process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Separately, SEACOR Marine today announced that its Board is evaluating potential strategic alternatives to maximize shareholder value.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review process, the Board expects to evaluate a range of strategic alternatives that may include a sale of the Company, merger, other business combinations, sale of assets, or other transactions aimed at maximizing value for shareholders. The Board has retained independent financial advisors to assist in evaluating strategic alternatives. The Board and management team remain fully committed to acting in the best interests of the Company and its stakeholders throughout this evaluation process.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Andrew R. Morse, Non-Executive Chairman of the Board, commented:</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0"/>
        </w:rPr>
        <w:t>Over the past several years, the Company has worked diligently to optimize its fleet, strengthen its balance sheet and position SEACOR Marine to benefit from improving offshore market fundamentals. Given the progress we have made and the opportunities we see ahead, the Board and management team are eager to evaluate a range of strategic alternatives to determine the best path forward for maximizing shareholder value. Throughout this process, the team remains focused on executing our strategy, serving our customers and delivering safe and reliable operations worldwide. Our employees, customers, and business partners should expect business as usual as we continue to execute on our operating and financial objectives.”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can be no assurance that the strategic review process will result in any transaction or other strategic outcome. The Company has not established a timetable for completion of the review process and does not intend to disclose developments related to the review unless and until SEACOR Marine executes a definitive agreement with respect thereto, or the Board otherwise determines that further disclosure is appropriate or required.</w:t>
      </w:r>
    </w:p>
    <w:p>
      <w:pPr>
        <w:pStyle w:val="TextBody"/>
        <w:bidi w:val="0"/>
        <w:jc w:val="both"/>
        <w:rPr>
          <w:rFonts w:ascii="Times New Roman" w:hAnsi="Times New Roman"/>
          <w:color w:val="000000"/>
          <w:sz w:val="20"/>
        </w:rPr>
      </w:pPr>
      <w:r>
        <w:rPr>
          <w:rFonts w:ascii="Times New Roman" w:hAnsi="Times New Roman"/>
          <w:color w:val="000000"/>
          <w:sz w:val="20"/>
        </w:rPr>
        <w:t>___________________</w:t>
      </w:r>
    </w:p>
    <w:tbl>
      <w:tblPr>
        <w:tblW w:w="10205" w:type="dxa"/>
        <w:jc w:val="left"/>
        <w:tblInd w:w="0" w:type="dxa"/>
        <w:tblLayout w:type="fixed"/>
        <w:tblCellMar>
          <w:top w:w="28" w:type="dxa"/>
          <w:left w:w="28" w:type="dxa"/>
          <w:bottom w:w="28" w:type="dxa"/>
          <w:right w:w="28" w:type="dxa"/>
        </w:tblCellMar>
      </w:tblPr>
      <w:tblGrid>
        <w:gridCol w:w="293"/>
        <w:gridCol w:w="9912"/>
      </w:tblGrid>
      <w:tr>
        <w:trPr/>
        <w:tc>
          <w:tcPr>
            <w:tcW w:w="293" w:type="dxa"/>
            <w:tcBorders/>
            <w:vAlign w:val="center"/>
          </w:tcPr>
          <w:p>
            <w:pPr>
              <w:pStyle w:val="TableContents"/>
              <w:bidi w:val="0"/>
              <w:spacing w:before="0" w:after="283"/>
              <w:jc w:val="left"/>
              <w:rPr>
                <w:sz w:val="4"/>
                <w:szCs w:val="4"/>
              </w:rPr>
            </w:pPr>
            <w:r>
              <w:rPr>
                <w:sz w:val="4"/>
                <w:szCs w:val="4"/>
              </w:rPr>
            </w:r>
          </w:p>
        </w:tc>
        <w:tc>
          <w:tcPr>
            <w:tcW w:w="9912" w:type="dxa"/>
            <w:tcBorders/>
            <w:vAlign w:val="center"/>
          </w:tcPr>
          <w:p>
            <w:pPr>
              <w:pStyle w:val="TableContents"/>
              <w:bidi w:val="0"/>
              <w:spacing w:before="0" w:after="283"/>
              <w:jc w:val="left"/>
              <w:rPr>
                <w:sz w:val="4"/>
                <w:szCs w:val="4"/>
              </w:rPr>
            </w:pPr>
            <w:r>
              <w:rPr>
                <w:sz w:val="4"/>
                <w:szCs w:val="4"/>
              </w:rPr>
            </w:r>
          </w:p>
        </w:tc>
      </w:tr>
      <w:tr>
        <w:trPr/>
        <w:tc>
          <w:tcPr>
            <w:tcW w:w="29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w:t>
            </w:r>
          </w:p>
        </w:tc>
        <w:tc>
          <w:tcPr>
            <w:tcW w:w="99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 vessel profit (defined as operating revenues less operating costs and expenses, “DVP”) is the Company’s measure of segment profitability. DVP is a critical financial measure used by the Company to analyze and compare the operating performance of its regions, without regard to financing decisions (depreciation and interest expense for owned vessels vs. lease expense for lease vessels). DVP is also useful when comparing the Company’s global fleet performance against those of our competitors who may have differing fleet financing structures. DVP has material limitations as an analytical tool in that it does not reflect all of the costs associated with the ownership and operation of our fleet, and it should not be considered in isolation or used as a substitute for our results as reported under GAAP. See page 4 for reconciliation of DVP to GAAP Operating Income (Loss), its most comparable GAAP measure.</w:t>
            </w:r>
          </w:p>
        </w:tc>
      </w:tr>
    </w:tbl>
    <w:p>
      <w:pPr>
        <w:pStyle w:val="TextBody"/>
        <w:bidi w:val="0"/>
        <w:jc w:val="center"/>
        <w:rPr>
          <w:rFonts w:ascii="Times New Roman" w:hAnsi="Times New Roman"/>
          <w:color w:val="000000"/>
          <w:sz w:val="20"/>
        </w:rPr>
      </w:pPr>
      <w:r>
        <w:rPr>
          <w:rFonts w:ascii="Times New Roman" w:hAnsi="Times New Roman"/>
          <w:color w:val="000000"/>
          <w:sz w:val="20"/>
        </w:rPr>
        <w:t>* * * * *</w:t>
      </w:r>
    </w:p>
    <w:p>
      <w:pPr>
        <w:pStyle w:val="TextBody"/>
        <w:bidi w:val="0"/>
        <w:jc w:val="both"/>
        <w:rPr>
          <w:rFonts w:ascii="Times New Roman" w:hAnsi="Times New Roman"/>
          <w:color w:val="000000"/>
          <w:sz w:val="20"/>
        </w:rPr>
      </w:pPr>
      <w:r>
        <w:rPr>
          <w:rFonts w:ascii="Times New Roman" w:hAnsi="Times New Roman"/>
          <w:color w:val="000000"/>
          <w:sz w:val="20"/>
        </w:rPr>
        <w:t>SEACOR Marine provides global marine and support transportation services to offshore energy facilities worldwide. SEACOR Marine operates and manages a diverse fleet of offshore support vessels that deliver cargo and personnel to offshore installations, including offshore wind farms; assist offshore operations for production and storage facilities; provide construction, well work-over, offshore wind farm installation and decommissioning support; and carry and launch equipment used underwater in drilling and well installation, maintenance, inspection and repair. Additionally, SEACOR Marine’s vessels provide emergency response services and accommodations for technicians and specialists.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Certain statements discussed in this release as well as in other reports, materials and oral statements that the Company releases from time to time to the public constitute “forward-looking statements” within the meaning of the Private Securities Litigation Reform Act of 1995. Generally, words such as “anticipate,” “estimate,” “expect,” “project,” “intend,” “believe,” “plan,” “target,” “forecast” and similar expressions are intended to identify forward-looking statements. Such forward-looking statements concern management’s expectations, strategic objectives, including our announcement of the commencement of a strategic review of the business, business prospects, anticipated economic performance and financial condition and other similar matters. Forward-looking statements are inherently uncertain and subject to a variety of assumptions, risks and uncertainties that could cause actual results to differ materially from those anticipated or expected by the management of the Company. These statements are not guarantees of future performance and actual events or results may differ significantly from these statements. Achievement of these expectations and strategic objectives, including any increase to shareholder value from the strategic review, business prospects, anticipated economic performance and financial condition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beyond the Company’s control and are described in the Company’s filings with the SEC. It should be understood that it is not possible to predict or identify all such factors. Given these risk factors, investors and analysts should not place undue reliance on forward-looking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i/>
          <w:color w:val="000000"/>
          <w:sz w:val="20"/>
        </w:rPr>
      </w:pPr>
      <w:r>
        <w:rPr>
          <w:rFonts w:ascii="Times New Roman" w:hAnsi="Times New Roman"/>
          <w:i/>
          <w:color w:val="000000"/>
          <w:sz w:val="20"/>
        </w:rPr>
        <w:t>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except as required by law. It is advisable, however, to consult any further disclosures the Company makes on related subjects in its filings with the Securities and Exchange Commission, including Annual Reports on Form 10-K, Quarterly Reports on Form 10-Q and Current Reports on Form 8-K (if any). These statements constitute the Company’s cautionary statements under the Private Securities Litigation Reform Act of 1995.</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Please visit SEACOR Marine’s website at www.seacormarine.com for additional information.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 investors, contact:</w:t>
      </w:r>
    </w:p>
    <w:p>
      <w:pPr>
        <w:pStyle w:val="TextBody"/>
        <w:bidi w:val="0"/>
        <w:jc w:val="center"/>
        <w:rPr>
          <w:rFonts w:ascii="Times New Roman" w:hAnsi="Times New Roman"/>
          <w:color w:val="0563C1"/>
          <w:sz w:val="20"/>
          <w:u w:val="single"/>
        </w:rPr>
      </w:pPr>
      <w:r>
        <w:rPr>
          <w:rFonts w:ascii="Times New Roman" w:hAnsi="Times New Roman"/>
          <w:color w:val="0563C1"/>
          <w:sz w:val="20"/>
          <w:u w:val="single"/>
        </w:rPr>
        <w:t>InvestorRelations@seacormarine.com</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 media, contact:</w:t>
      </w:r>
    </w:p>
    <w:p>
      <w:pPr>
        <w:pStyle w:val="TextBody"/>
        <w:bidi w:val="0"/>
        <w:jc w:val="center"/>
        <w:rPr>
          <w:rFonts w:ascii="Times New Roman" w:hAnsi="Times New Roman"/>
          <w:color w:val="000000"/>
          <w:sz w:val="20"/>
        </w:rPr>
      </w:pPr>
      <w:r>
        <w:rPr>
          <w:rFonts w:ascii="Times New Roman" w:hAnsi="Times New Roman"/>
          <w:color w:val="000000"/>
          <w:sz w:val="20"/>
        </w:rPr>
        <w:t>H/Advisors – U.S.</w:t>
      </w:r>
    </w:p>
    <w:p>
      <w:pPr>
        <w:pStyle w:val="TextBody"/>
        <w:bidi w:val="0"/>
        <w:jc w:val="center"/>
        <w:rPr>
          <w:rFonts w:ascii="Times New Roman" w:hAnsi="Times New Roman"/>
          <w:color w:val="000000"/>
          <w:sz w:val="20"/>
        </w:rPr>
      </w:pPr>
      <w:r>
        <w:rPr>
          <w:rFonts w:ascii="Times New Roman" w:hAnsi="Times New Roman"/>
          <w:color w:val="000000"/>
          <w:sz w:val="20"/>
        </w:rPr>
        <w:t>Dana Gorman / Amy Feng</w:t>
      </w:r>
    </w:p>
    <w:p>
      <w:pPr>
        <w:pStyle w:val="TextBody"/>
        <w:bidi w:val="0"/>
        <w:jc w:val="center"/>
        <w:rPr>
          <w:rFonts w:ascii="Times New Roman" w:hAnsi="Times New Roman"/>
          <w:color w:val="0563C1"/>
          <w:sz w:val="20"/>
          <w:u w:val="single"/>
        </w:rPr>
      </w:pPr>
      <w:r>
        <w:rPr>
          <w:rFonts w:ascii="Times New Roman" w:hAnsi="Times New Roman"/>
          <w:color w:val="0563C1"/>
          <w:sz w:val="20"/>
          <w:u w:val="single"/>
        </w:rPr>
        <w:t>dana.gorman@h-advisors.global / amy.feng@h-advisors.global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SEACOR MARINE HOLDINGS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64"/>
        <w:gridCol w:w="146"/>
        <w:gridCol w:w="196"/>
        <w:gridCol w:w="916"/>
        <w:gridCol w:w="166"/>
        <w:gridCol w:w="146"/>
        <w:gridCol w:w="196"/>
        <w:gridCol w:w="916"/>
        <w:gridCol w:w="166"/>
        <w:gridCol w:w="146"/>
        <w:gridCol w:w="196"/>
        <w:gridCol w:w="916"/>
        <w:gridCol w:w="166"/>
        <w:gridCol w:w="146"/>
        <w:gridCol w:w="196"/>
        <w:gridCol w:w="916"/>
        <w:gridCol w:w="411"/>
      </w:tblGrid>
      <w:tr>
        <w:trPr/>
        <w:tc>
          <w:tcPr>
            <w:tcW w:w="4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Administrative and general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Gains on Asset Dispositions and Impairments,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Derivative gains,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losses,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(Loss) Before Income Tax Expense and Equity in Earnings of 50% or Less Owned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(Loss) Before Equity in Earnings of 50% or Less Owned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 Earnings of 50% or Less Owned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Earnings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26,072,144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25,686,560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25,929,323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26,791,291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26,353,556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25,686,560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25,929,323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26,791,291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SEACOR MARINE HOLDINGS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CONSOLIDATED STATEMENTS OF INCOME (LOSS)</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(in thousands, except statistics and per share data)</w:t>
      </w:r>
    </w:p>
    <w:tbl>
      <w:tblPr>
        <w:tblW w:w="11061" w:type="dxa"/>
        <w:jc w:val="left"/>
        <w:tblInd w:w="0" w:type="dxa"/>
        <w:tblLayout w:type="fixed"/>
        <w:tblCellMar>
          <w:top w:w="28" w:type="dxa"/>
          <w:left w:w="28" w:type="dxa"/>
          <w:bottom w:w="28" w:type="dxa"/>
          <w:right w:w="28" w:type="dxa"/>
        </w:tblCellMar>
      </w:tblPr>
      <w:tblGrid>
        <w:gridCol w:w="1391"/>
        <w:gridCol w:w="546"/>
        <w:gridCol w:w="196"/>
        <w:gridCol w:w="601"/>
        <w:gridCol w:w="546"/>
        <w:gridCol w:w="546"/>
        <w:gridCol w:w="196"/>
        <w:gridCol w:w="661"/>
        <w:gridCol w:w="546"/>
        <w:gridCol w:w="546"/>
        <w:gridCol w:w="196"/>
        <w:gridCol w:w="661"/>
        <w:gridCol w:w="546"/>
        <w:gridCol w:w="546"/>
        <w:gridCol w:w="196"/>
        <w:gridCol w:w="601"/>
        <w:gridCol w:w="546"/>
        <w:gridCol w:w="546"/>
        <w:gridCol w:w="196"/>
        <w:gridCol w:w="661"/>
        <w:gridCol w:w="591"/>
      </w:tblGrid>
      <w:tr>
        <w:trPr/>
        <w:tc>
          <w:tcPr>
            <w:tcW w:w="13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3"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 30, 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 31, 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 31, 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 30, 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Time Charter Statistics: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Average Rates Per Day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18,199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17,519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19,490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Fleet Utilization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 xml:space="preserve">Fleet Available Days </w:t>
            </w:r>
            <w:r>
              <w:rPr>
                <w:rFonts w:ascii="Times New Roman" w:hAnsi="Times New Roman"/>
                <w:color w:val="000000"/>
                <w:sz w:val="11"/>
              </w:rPr>
              <w:t>(2)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Time charter</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49,697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41,957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49,817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55,958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Bareboat charter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marine services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54,630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44,282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52,329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59,194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60,810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Costs and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Personnel</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15,697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17,616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Repairs and maintenance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12,648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11,752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14,603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Drydocking</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Insurance and loss reserves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Fuel, lubes and supplies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46,684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37,573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42,667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47,684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49,493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Direct Vessel Profit </w:t>
            </w:r>
            <w:r>
              <w:rPr>
                <w:rFonts w:ascii="Times New Roman" w:hAnsi="Times New Roman"/>
                <w:color w:val="000000"/>
                <w:sz w:val="11"/>
              </w:rPr>
              <w:t>(1)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7,946</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Costs and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Lease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Administrative and general</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12,125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23,327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23,036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Gains on Asset Dispositions and Impairments,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31,347</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30,230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(5,164</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18,066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Derivative (losses) gains,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(losses) gains,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Gains on insurance claim settlement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(Loss) Before Income Tax Expense and Equity in Earnings of 50% or Less Owned Companies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7,188</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(13,165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14,011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(Loss) Before Equity in Earnings of 50% or Less Owned Companies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(15,855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(14,853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 Earnings of 50% or Less Owned Companies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3,293</w:t>
            </w:r>
          </w:p>
        </w:tc>
        <w:tc>
          <w:tcPr>
            <w:tcW w:w="5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(15,805</w:t>
            </w:r>
          </w:p>
        </w:tc>
        <w:tc>
          <w:tcPr>
            <w:tcW w:w="5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(14,622</w:t>
            </w:r>
          </w:p>
        </w:tc>
        <w:tc>
          <w:tcPr>
            <w:tcW w:w="5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8,994</w:t>
            </w:r>
          </w:p>
        </w:tc>
        <w:tc>
          <w:tcPr>
            <w:tcW w:w="5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(6,727</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Earnings (Loss) Per Share: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Basic</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Common Stock Outstanding:</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Basic</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26,072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25,785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25,671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25,658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25,785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25,671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25,888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25,687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Shares Outstanding at Period End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27,133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27,062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26,976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26,976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See full description of footnote above.</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Includes available days for a bareboat charter for one PSV, which has been excluded from days worked and average day rates.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SEACOR MARINE HOLDINGS INC.</w:t>
      </w:r>
    </w:p>
    <w:p>
      <w:pPr>
        <w:pStyle w:val="TextBody"/>
        <w:bidi w:val="0"/>
        <w:jc w:val="center"/>
        <w:rPr>
          <w:rFonts w:ascii="Times New Roman" w:hAnsi="Times New Roman"/>
          <w:b/>
          <w:color w:val="000000"/>
          <w:sz w:val="20"/>
        </w:rPr>
      </w:pPr>
      <w:r>
        <w:rPr>
          <w:rFonts w:ascii="Times New Roman" w:hAnsi="Times New Roman"/>
          <w:b/>
          <w:color w:val="000000"/>
          <w:sz w:val="20"/>
        </w:rPr>
        <w:t>UNAUDITED DIRECT VESSEL PROFIT (“DVP”) BY SEGMENT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statistics)</w:t>
      </w:r>
    </w:p>
    <w:tbl>
      <w:tblPr>
        <w:tblW w:w="10901" w:type="dxa"/>
        <w:jc w:val="left"/>
        <w:tblInd w:w="0" w:type="dxa"/>
        <w:tblLayout w:type="fixed"/>
        <w:tblCellMar>
          <w:top w:w="28" w:type="dxa"/>
          <w:left w:w="28" w:type="dxa"/>
          <w:bottom w:w="28" w:type="dxa"/>
          <w:right w:w="28" w:type="dxa"/>
        </w:tblCellMar>
      </w:tblPr>
      <w:tblGrid>
        <w:gridCol w:w="1391"/>
        <w:gridCol w:w="546"/>
        <w:gridCol w:w="196"/>
        <w:gridCol w:w="601"/>
        <w:gridCol w:w="546"/>
        <w:gridCol w:w="546"/>
        <w:gridCol w:w="196"/>
        <w:gridCol w:w="601"/>
        <w:gridCol w:w="546"/>
        <w:gridCol w:w="546"/>
        <w:gridCol w:w="196"/>
        <w:gridCol w:w="601"/>
        <w:gridCol w:w="566"/>
        <w:gridCol w:w="546"/>
        <w:gridCol w:w="196"/>
        <w:gridCol w:w="601"/>
        <w:gridCol w:w="546"/>
        <w:gridCol w:w="546"/>
        <w:gridCol w:w="196"/>
        <w:gridCol w:w="601"/>
        <w:gridCol w:w="591"/>
      </w:tblGrid>
      <w:tr>
        <w:trPr/>
        <w:tc>
          <w:tcPr>
            <w:tcW w:w="13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3"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 30, 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 31, 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 31, 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 30, 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Americas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Time Charter Statistics: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Average rates per day worked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28,394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20,546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18,188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22,809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Fleet utilization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 xml:space="preserve">Fleet available days </w:t>
            </w:r>
            <w:r>
              <w:rPr>
                <w:rFonts w:ascii="Times New Roman" w:hAnsi="Times New Roman"/>
                <w:color w:val="000000"/>
                <w:sz w:val="11"/>
              </w:rPr>
              <w:t>(2)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Out-of-service days for repairs, maintenance and drydockings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Out-of-service days for cold-stacked status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Time charter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15,518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13,560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20,995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20,773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Bareboat charter</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marine services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14,922</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23,179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 Costs and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Personnel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7,115</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Repairs and maintenance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Drydocking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Insurance and loss reserves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Fuel, lubes and supplies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13,806</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10,973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14,147</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15,823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Direct Vessel Profit (Loss) </w:t>
            </w:r>
            <w:r>
              <w:rPr>
                <w:rFonts w:ascii="Times New Roman" w:hAnsi="Times New Roman"/>
                <w:color w:val="000000"/>
                <w:sz w:val="11"/>
              </w:rPr>
              <w:t>(1)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3,899</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7,356</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Costs and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Lease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Africa and Europe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Time Charter Statistics: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Average rates per day worked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18,877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18,711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17,095</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Fleet utilization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Fleet available days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1,559</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Out-of-service days for repairs, maintenance and drydockings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Time charter</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22,534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22,317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22,357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marine services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23,111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22,897</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23,090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25,341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 Costs and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Personnel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4,656</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Repairs and maintenance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Drydocking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Insurance and loss reserves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Fuel, lubes and supplies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2,558</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17,824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12,971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14,668</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18,089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Direct Vessel Profit </w:t>
            </w:r>
            <w:r>
              <w:rPr>
                <w:rFonts w:ascii="Times New Roman" w:hAnsi="Times New Roman"/>
                <w:color w:val="000000"/>
                <w:sz w:val="11"/>
              </w:rPr>
              <w:t>(1)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8,465</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10,140</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8,229</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5,001</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Costs and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Lease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See full description of footnote above.</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Includes available days for a bareboat charter for one PSV, which has been excluded from days worked and average day rates.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SEACOR MARINE HOLDINGS INC.</w:t>
      </w:r>
    </w:p>
    <w:p>
      <w:pPr>
        <w:pStyle w:val="TextBody"/>
        <w:bidi w:val="0"/>
        <w:jc w:val="center"/>
        <w:rPr>
          <w:rFonts w:ascii="Times New Roman" w:hAnsi="Times New Roman"/>
          <w:b/>
          <w:color w:val="000000"/>
          <w:sz w:val="20"/>
        </w:rPr>
      </w:pPr>
      <w:r>
        <w:rPr>
          <w:rFonts w:ascii="Times New Roman" w:hAnsi="Times New Roman"/>
          <w:b/>
          <w:color w:val="000000"/>
          <w:sz w:val="20"/>
        </w:rPr>
        <w:t>UNAUDITED DIRECT VESSEL PROFIT (“DVP”) BY SEGMENT (continued)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statistics)</w:t>
      </w:r>
    </w:p>
    <w:tbl>
      <w:tblPr>
        <w:tblW w:w="10901" w:type="dxa"/>
        <w:jc w:val="left"/>
        <w:tblInd w:w="0" w:type="dxa"/>
        <w:tblLayout w:type="fixed"/>
        <w:tblCellMar>
          <w:top w:w="28" w:type="dxa"/>
          <w:left w:w="28" w:type="dxa"/>
          <w:bottom w:w="28" w:type="dxa"/>
          <w:right w:w="28" w:type="dxa"/>
        </w:tblCellMar>
      </w:tblPr>
      <w:tblGrid>
        <w:gridCol w:w="1391"/>
        <w:gridCol w:w="546"/>
        <w:gridCol w:w="196"/>
        <w:gridCol w:w="601"/>
        <w:gridCol w:w="546"/>
        <w:gridCol w:w="546"/>
        <w:gridCol w:w="196"/>
        <w:gridCol w:w="601"/>
        <w:gridCol w:w="546"/>
        <w:gridCol w:w="546"/>
        <w:gridCol w:w="196"/>
        <w:gridCol w:w="601"/>
        <w:gridCol w:w="546"/>
        <w:gridCol w:w="546"/>
        <w:gridCol w:w="196"/>
        <w:gridCol w:w="601"/>
        <w:gridCol w:w="566"/>
        <w:gridCol w:w="546"/>
        <w:gridCol w:w="196"/>
        <w:gridCol w:w="601"/>
        <w:gridCol w:w="591"/>
      </w:tblGrid>
      <w:tr>
        <w:trPr/>
        <w:tc>
          <w:tcPr>
            <w:tcW w:w="13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3"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 30, 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 31, 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 31, 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 30, 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Middle East and Asia</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Time Charter Statistics: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Average rates per day worked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15,588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15,400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17,818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Fleet utilization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Fleet available days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Out-of-service days for repairs, maintenance and drydockings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Time charter</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12,606</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marine services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 Costs and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Personnel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4,956</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Repairs and maintenance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Drydocking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Insurance and loss reserves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Fuel, lubes and supplies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1,167</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15,054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13,629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13,772</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Direct Vessel (Loss) Profit </w:t>
            </w:r>
            <w:r>
              <w:rPr>
                <w:rFonts w:ascii="Times New Roman" w:hAnsi="Times New Roman"/>
                <w:color w:val="000000"/>
                <w:sz w:val="11"/>
              </w:rPr>
              <w:t>(1)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(4,418</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(3,411</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Costs and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Lease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See full description of footnote above.</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SEACOR MARINE HOLDINGS INC.</w:t>
      </w:r>
    </w:p>
    <w:p>
      <w:pPr>
        <w:pStyle w:val="TextBody"/>
        <w:bidi w:val="0"/>
        <w:jc w:val="center"/>
        <w:rPr>
          <w:rFonts w:ascii="Times New Roman" w:hAnsi="Times New Roman"/>
          <w:b/>
          <w:color w:val="000000"/>
          <w:sz w:val="20"/>
        </w:rPr>
      </w:pPr>
      <w:r>
        <w:rPr>
          <w:rFonts w:ascii="Times New Roman" w:hAnsi="Times New Roman"/>
          <w:b/>
          <w:color w:val="000000"/>
          <w:sz w:val="20"/>
        </w:rPr>
        <w:t>UNAUDITED PERFORMANCE BY VESSEL CLASS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statistics)</w:t>
      </w:r>
    </w:p>
    <w:p>
      <w:pPr>
        <w:pStyle w:val="TextBody"/>
        <w:bidi w:val="0"/>
        <w:jc w:val="left"/>
        <w:rPr/>
      </w:pPr>
      <w:r>
        <w:rPr/>
        <w:t> </w:t>
      </w:r>
    </w:p>
    <w:tbl>
      <w:tblPr>
        <w:tblW w:w="10921" w:type="dxa"/>
        <w:jc w:val="left"/>
        <w:tblInd w:w="0" w:type="dxa"/>
        <w:tblLayout w:type="fixed"/>
        <w:tblCellMar>
          <w:top w:w="28" w:type="dxa"/>
          <w:left w:w="28" w:type="dxa"/>
          <w:bottom w:w="28" w:type="dxa"/>
          <w:right w:w="28" w:type="dxa"/>
        </w:tblCellMar>
      </w:tblPr>
      <w:tblGrid>
        <w:gridCol w:w="1391"/>
        <w:gridCol w:w="546"/>
        <w:gridCol w:w="196"/>
        <w:gridCol w:w="601"/>
        <w:gridCol w:w="546"/>
        <w:gridCol w:w="546"/>
        <w:gridCol w:w="196"/>
        <w:gridCol w:w="601"/>
        <w:gridCol w:w="546"/>
        <w:gridCol w:w="546"/>
        <w:gridCol w:w="196"/>
        <w:gridCol w:w="601"/>
        <w:gridCol w:w="546"/>
        <w:gridCol w:w="546"/>
        <w:gridCol w:w="196"/>
        <w:gridCol w:w="601"/>
        <w:gridCol w:w="566"/>
        <w:gridCol w:w="546"/>
        <w:gridCol w:w="196"/>
        <w:gridCol w:w="601"/>
        <w:gridCol w:w="611"/>
      </w:tblGrid>
      <w:tr>
        <w:trPr/>
        <w:tc>
          <w:tcPr>
            <w:tcW w:w="13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3"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 30, 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 31, 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 31, 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 30, 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 30,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AHTS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Time charter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marine services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 Costs and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Personnel</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Repairs and maintenance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Insurance and loss reserves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Fuel, lubes and supplies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Costs and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FSV</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Time Charter Statistics: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Average rates per day worked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14,411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13,833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14,114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Fleet utilization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Fleet available days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Out-of-service days for repairs, maintenance and drydockings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Out-of-service days for cold-stacked status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Time charter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19,636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20,546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marine services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19,400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19,697</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18,089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 Costs and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Personnel</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Repairs and maintenance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Drydocking</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Insurance and loss reserves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Fuel, lubes and supplies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1,480</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2,147</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17,728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15,860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Costs and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SEACOR MARINE HOLDINGS INC.</w:t>
      </w:r>
    </w:p>
    <w:p>
      <w:pPr>
        <w:pStyle w:val="TextBody"/>
        <w:bidi w:val="0"/>
        <w:jc w:val="center"/>
        <w:rPr>
          <w:rFonts w:ascii="Times New Roman" w:hAnsi="Times New Roman"/>
          <w:b/>
          <w:color w:val="000000"/>
          <w:sz w:val="20"/>
        </w:rPr>
      </w:pPr>
      <w:r>
        <w:rPr>
          <w:rFonts w:ascii="Times New Roman" w:hAnsi="Times New Roman"/>
          <w:b/>
          <w:color w:val="000000"/>
          <w:sz w:val="20"/>
        </w:rPr>
        <w:t>UNAUDITED PERFORMANCE BY VESSEL CLASS (continued)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statistics)</w:t>
      </w:r>
    </w:p>
    <w:tbl>
      <w:tblPr>
        <w:tblW w:w="10901" w:type="dxa"/>
        <w:jc w:val="left"/>
        <w:tblInd w:w="0" w:type="dxa"/>
        <w:tblLayout w:type="fixed"/>
        <w:tblCellMar>
          <w:top w:w="28" w:type="dxa"/>
          <w:left w:w="28" w:type="dxa"/>
          <w:bottom w:w="28" w:type="dxa"/>
          <w:right w:w="28" w:type="dxa"/>
        </w:tblCellMar>
      </w:tblPr>
      <w:tblGrid>
        <w:gridCol w:w="1391"/>
        <w:gridCol w:w="546"/>
        <w:gridCol w:w="196"/>
        <w:gridCol w:w="601"/>
        <w:gridCol w:w="546"/>
        <w:gridCol w:w="546"/>
        <w:gridCol w:w="196"/>
        <w:gridCol w:w="601"/>
        <w:gridCol w:w="546"/>
        <w:gridCol w:w="546"/>
        <w:gridCol w:w="196"/>
        <w:gridCol w:w="601"/>
        <w:gridCol w:w="566"/>
        <w:gridCol w:w="546"/>
        <w:gridCol w:w="196"/>
        <w:gridCol w:w="601"/>
        <w:gridCol w:w="546"/>
        <w:gridCol w:w="546"/>
        <w:gridCol w:w="196"/>
        <w:gridCol w:w="601"/>
        <w:gridCol w:w="591"/>
      </w:tblGrid>
      <w:tr>
        <w:trPr/>
        <w:tc>
          <w:tcPr>
            <w:tcW w:w="13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3"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 30, 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 31, 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 31, 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 30, 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PSV</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Time Charter Statistics: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Average rates per day worked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28,443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25,352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20,118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21,507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Fleet utilization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 xml:space="preserve">Fleet available days </w:t>
            </w:r>
            <w:r>
              <w:rPr>
                <w:rFonts w:ascii="Times New Roman" w:hAnsi="Times New Roman"/>
                <w:color w:val="000000"/>
                <w:sz w:val="11"/>
              </w:rPr>
              <w:t>(1)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Out-of-service days for repairs, maintenance and drydockings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Time charter</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28,622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21,688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23,801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Bareboat charter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marine services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30,915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23,327</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25,084</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25,877</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 Costs and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Personnel</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Repairs and maintenance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Drydocking</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Insurance and loss reserves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Fuel, lubes and supplies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4,357</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4,378</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20,077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19,451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Costs and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Includes available days for a bareboat charter for one PSV, which has been excluded from days worked and average day rates.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SEACOR MARINE HOLDINGS INC.</w:t>
      </w:r>
    </w:p>
    <w:p>
      <w:pPr>
        <w:pStyle w:val="TextBody"/>
        <w:bidi w:val="0"/>
        <w:jc w:val="center"/>
        <w:rPr>
          <w:rFonts w:ascii="Times New Roman" w:hAnsi="Times New Roman"/>
          <w:b/>
          <w:color w:val="000000"/>
          <w:sz w:val="20"/>
        </w:rPr>
      </w:pPr>
      <w:r>
        <w:rPr>
          <w:rFonts w:ascii="Times New Roman" w:hAnsi="Times New Roman"/>
          <w:b/>
          <w:color w:val="000000"/>
          <w:sz w:val="20"/>
        </w:rPr>
        <w:t>UNAUDITED PERFORMANCE BY VESSEL CLASS (continued)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statistics)</w:t>
      </w:r>
    </w:p>
    <w:p>
      <w:pPr>
        <w:pStyle w:val="TextBody"/>
        <w:bidi w:val="0"/>
        <w:jc w:val="left"/>
        <w:rPr/>
      </w:pPr>
      <w:r>
        <w:rPr/>
        <w:t> </w:t>
      </w:r>
    </w:p>
    <w:p>
      <w:pPr>
        <w:pStyle w:val="TextBody"/>
        <w:bidi w:val="0"/>
        <w:jc w:val="left"/>
        <w:rPr/>
      </w:pPr>
      <w:r>
        <w:rPr/>
        <w:t> </w:t>
      </w:r>
    </w:p>
    <w:tbl>
      <w:tblPr>
        <w:tblW w:w="10961" w:type="dxa"/>
        <w:jc w:val="left"/>
        <w:tblInd w:w="0" w:type="dxa"/>
        <w:tblLayout w:type="fixed"/>
        <w:tblCellMar>
          <w:top w:w="28" w:type="dxa"/>
          <w:left w:w="28" w:type="dxa"/>
          <w:bottom w:w="28" w:type="dxa"/>
          <w:right w:w="28" w:type="dxa"/>
        </w:tblCellMar>
      </w:tblPr>
      <w:tblGrid>
        <w:gridCol w:w="1391"/>
        <w:gridCol w:w="546"/>
        <w:gridCol w:w="196"/>
        <w:gridCol w:w="601"/>
        <w:gridCol w:w="566"/>
        <w:gridCol w:w="546"/>
        <w:gridCol w:w="196"/>
        <w:gridCol w:w="601"/>
        <w:gridCol w:w="566"/>
        <w:gridCol w:w="546"/>
        <w:gridCol w:w="196"/>
        <w:gridCol w:w="601"/>
        <w:gridCol w:w="566"/>
        <w:gridCol w:w="546"/>
        <w:gridCol w:w="196"/>
        <w:gridCol w:w="601"/>
        <w:gridCol w:w="566"/>
        <w:gridCol w:w="546"/>
        <w:gridCol w:w="196"/>
        <w:gridCol w:w="601"/>
        <w:gridCol w:w="591"/>
      </w:tblGrid>
      <w:tr>
        <w:trPr/>
        <w:tc>
          <w:tcPr>
            <w:tcW w:w="13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3"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 30, 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 31, 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 31, 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 30, 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Liftboats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Time Charter Statistics: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Average rates per day worked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16,417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16,420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26,703</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33,566</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Fleet utilization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Fleet available days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Out-of-service days for repairs, maintenance and drydockings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Time charter</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5,470</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marine services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2,237</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1,518</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5,829</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14,850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 Costs and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Personnel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2,409</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5,209</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Repairs and maintenance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3,943</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Drydocking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Insurance and loss reserves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Fuel, lubes and supplies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8,835</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7,553</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12,294</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Costs and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2,026</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Other Activity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Time charter</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marine services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 Costs and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Personnel</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Repairs and maintenance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Insurance and loss reserves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Fuel, lubes and supplies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Costs and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Lease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8"/>
        </w:rPr>
      </w:pPr>
      <w:r>
        <w:rPr>
          <w:rFonts w:ascii="Times New Roman" w:hAnsi="Times New Roman"/>
          <w:b/>
          <w:color w:val="000000"/>
          <w:sz w:val="18"/>
        </w:rPr>
        <w:t>SEACOR MARINE HOLDINGS INC.</w:t>
      </w:r>
    </w:p>
    <w:p>
      <w:pPr>
        <w:pStyle w:val="TextBody"/>
        <w:bidi w:val="0"/>
        <w:jc w:val="center"/>
        <w:rPr>
          <w:rFonts w:ascii="Times New Roman" w:hAnsi="Times New Roman"/>
          <w:b/>
          <w:color w:val="000000"/>
          <w:sz w:val="18"/>
        </w:rPr>
      </w:pPr>
      <w:r>
        <w:rPr>
          <w:rFonts w:ascii="Times New Roman" w:hAnsi="Times New Roman"/>
          <w:b/>
          <w:color w:val="000000"/>
          <w:sz w:val="18"/>
        </w:rPr>
        <w:t>UNAUDITED CONDENSED CONSOLIDATED BALANCE SHEETS</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p>
      <w:pPr>
        <w:pStyle w:val="TextBody"/>
        <w:bidi w:val="0"/>
        <w:jc w:val="left"/>
        <w:rPr/>
      </w:pPr>
      <w:r>
        <w:rPr/>
        <w:t> </w:t>
      </w:r>
    </w:p>
    <w:tbl>
      <w:tblPr>
        <w:tblW w:w="10831" w:type="dxa"/>
        <w:jc w:val="left"/>
        <w:tblInd w:w="0" w:type="dxa"/>
        <w:tblLayout w:type="fixed"/>
        <w:tblCellMar>
          <w:top w:w="28" w:type="dxa"/>
          <w:left w:w="28" w:type="dxa"/>
          <w:bottom w:w="28" w:type="dxa"/>
          <w:right w:w="28" w:type="dxa"/>
        </w:tblCellMar>
      </w:tblPr>
      <w:tblGrid>
        <w:gridCol w:w="1371"/>
        <w:gridCol w:w="546"/>
        <w:gridCol w:w="196"/>
        <w:gridCol w:w="751"/>
        <w:gridCol w:w="546"/>
        <w:gridCol w:w="546"/>
        <w:gridCol w:w="196"/>
        <w:gridCol w:w="751"/>
        <w:gridCol w:w="546"/>
        <w:gridCol w:w="546"/>
        <w:gridCol w:w="196"/>
        <w:gridCol w:w="751"/>
        <w:gridCol w:w="546"/>
        <w:gridCol w:w="546"/>
        <w:gridCol w:w="196"/>
        <w:gridCol w:w="751"/>
        <w:gridCol w:w="166"/>
        <w:gridCol w:w="146"/>
        <w:gridCol w:w="196"/>
        <w:gridCol w:w="751"/>
        <w:gridCol w:w="591"/>
      </w:tblGrid>
      <w:tr>
        <w:trPr/>
        <w:tc>
          <w:tcPr>
            <w:tcW w:w="13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 30, 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 31, 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 31, 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55,397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38,721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68,934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37,643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36,711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24,182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Receivables: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Trade, net of allowance for credit loss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61,955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69,200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64,522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63,287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10,946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Assets held for sale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168,320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171,658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179,784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133,043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Historical cost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754,369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752,640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776,833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887,408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depreciation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(351,840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(341,790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(348,812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(377,265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402,529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410,850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428,021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510,143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Construction in progress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56,594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52,429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47,002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property and equipment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459,123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463,279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475,023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541,915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 - operating leases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 - finance leases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equity, and advances to 50% or less owned companies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3,009</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2,938</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633,324</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640,747</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660,601</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692,498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680,030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 AND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operating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finance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long-term debt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30,699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30,350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14,229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16,355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21,268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25,279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25,476</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70,768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72,674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70,729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operating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finance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289,503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297,072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304,644</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310,980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19,580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18,894</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gains and other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381,012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392,909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395,929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412,234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SEACOR Marine Holdings Inc. stockholders’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474,395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473,241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471,862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468,669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(220,956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(224,249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(208,444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Shares held in treasury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(11,428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(9,691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income, net of tax</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10,344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251,991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247,517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264,351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267,475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interests in subsidiaries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252,312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247,838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264,672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267,796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and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633,324</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640,747</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660,601</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692,498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680,030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8"/>
        </w:rPr>
      </w:pPr>
      <w:r>
        <w:rPr>
          <w:rFonts w:ascii="Times New Roman" w:hAnsi="Times New Roman"/>
          <w:b/>
          <w:color w:val="000000"/>
          <w:sz w:val="18"/>
        </w:rPr>
        <w:t>SEACOR MARINE HOLDINGS INC.</w:t>
      </w:r>
    </w:p>
    <w:p>
      <w:pPr>
        <w:pStyle w:val="TextBody"/>
        <w:bidi w:val="0"/>
        <w:jc w:val="center"/>
        <w:rPr>
          <w:rFonts w:ascii="Times New Roman" w:hAnsi="Times New Roman"/>
          <w:b/>
          <w:color w:val="000000"/>
          <w:sz w:val="18"/>
        </w:rPr>
      </w:pPr>
      <w:r>
        <w:rPr>
          <w:rFonts w:ascii="Times New Roman" w:hAnsi="Times New Roman"/>
          <w:b/>
          <w:color w:val="000000"/>
          <w:sz w:val="18"/>
        </w:rPr>
        <w:t>UNAUDITED CONDENSED 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p>
      <w:pPr>
        <w:pStyle w:val="TextBody"/>
        <w:bidi w:val="0"/>
        <w:jc w:val="center"/>
        <w:rPr/>
      </w:pPr>
      <w:r>
        <w:rPr/>
        <w:t> </w:t>
      </w:r>
    </w:p>
    <w:tbl>
      <w:tblPr>
        <w:tblW w:w="11231" w:type="dxa"/>
        <w:jc w:val="left"/>
        <w:tblInd w:w="0" w:type="dxa"/>
        <w:tblLayout w:type="fixed"/>
        <w:tblCellMar>
          <w:top w:w="28" w:type="dxa"/>
          <w:left w:w="28" w:type="dxa"/>
          <w:bottom w:w="28" w:type="dxa"/>
          <w:right w:w="28" w:type="dxa"/>
        </w:tblCellMar>
      </w:tblPr>
      <w:tblGrid>
        <w:gridCol w:w="1281"/>
        <w:gridCol w:w="546"/>
        <w:gridCol w:w="196"/>
        <w:gridCol w:w="661"/>
        <w:gridCol w:w="566"/>
        <w:gridCol w:w="546"/>
        <w:gridCol w:w="196"/>
        <w:gridCol w:w="661"/>
        <w:gridCol w:w="566"/>
        <w:gridCol w:w="546"/>
        <w:gridCol w:w="196"/>
        <w:gridCol w:w="691"/>
        <w:gridCol w:w="566"/>
        <w:gridCol w:w="546"/>
        <w:gridCol w:w="196"/>
        <w:gridCol w:w="691"/>
        <w:gridCol w:w="566"/>
        <w:gridCol w:w="546"/>
        <w:gridCol w:w="196"/>
        <w:gridCol w:w="661"/>
        <w:gridCol w:w="611"/>
      </w:tblGrid>
      <w:tr>
        <w:trPr/>
        <w:tc>
          <w:tcPr>
            <w:tcW w:w="12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93"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 30, 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 31, 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 31, 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 30, 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 30,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3,293</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(15,805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(14,622</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8,994</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income (loss) to 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10,330</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12,125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financing costs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1,383</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1,633</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1,559</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Debt discount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Allowance for credit losses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Gains from equipment sales, retirements or impairments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(31,347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(30,230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Derivative losses (gains)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on finance lease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Settlements on derivative transactions,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Currency losses (gains)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(1,233</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2,279</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earnings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received from equity investees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Operating Assets and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5,763</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(5,735</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(6,700</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1,415</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 and accrued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(6,107</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4,122</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(13,178</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(15,133</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(12,199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Investing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property and equipment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(6,429</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disposition of property and equipment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44,737</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12,778</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13,087</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76,068</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provided by investing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38,308</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66,720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Financing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on long-term debt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issuance of long-term debt, net of debt discount and issuance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on finance leases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for repurchase of common stock</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for repurchase of warrants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Excise tax on stock repurchase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 withholdings on restricted stock vesting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(used in) provided by financing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(7,524</w:t>
            </w:r>
          </w:p>
        </w:tc>
        <w:tc>
          <w:tcPr>
            <w:tcW w:w="5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(9,240</w:t>
            </w:r>
          </w:p>
        </w:tc>
        <w:tc>
          <w:tcPr>
            <w:tcW w:w="5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(7,556</w:t>
            </w:r>
          </w:p>
        </w:tc>
        <w:tc>
          <w:tcPr>
            <w:tcW w:w="5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w:t>
            </w:r>
          </w:p>
        </w:tc>
        <w:tc>
          <w:tcPr>
            <w:tcW w:w="5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(13,175</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Effects of Exchange Rate Changes on Cash, Restricted 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Cash, Restricted Cash and Cash Equivalents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17,608</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(17,684</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(15,092</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56,653</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Restricted Cash and Cash Equivalents, Beginning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75,432</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93,116</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108,208</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51,555</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Restricted Cash and Cash Equivalents, End of Period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93,040</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75,432</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93,116</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108,208</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51,555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SEACOR MARINE HOLDINGS INC.</w:t>
      </w:r>
    </w:p>
    <w:p>
      <w:pPr>
        <w:pStyle w:val="TextBody"/>
        <w:bidi w:val="0"/>
        <w:jc w:val="center"/>
        <w:rPr>
          <w:rFonts w:ascii="Times New Roman" w:hAnsi="Times New Roman"/>
          <w:b/>
          <w:color w:val="000000"/>
          <w:sz w:val="20"/>
        </w:rPr>
      </w:pPr>
      <w:r>
        <w:rPr>
          <w:rFonts w:ascii="Times New Roman" w:hAnsi="Times New Roman"/>
          <w:b/>
          <w:color w:val="000000"/>
          <w:sz w:val="20"/>
        </w:rPr>
        <w:t>UNAUDITED FLEET COUNTS</w:t>
      </w:r>
    </w:p>
    <w:p>
      <w:pPr>
        <w:pStyle w:val="TextBody"/>
        <w:bidi w:val="0"/>
        <w:jc w:val="left"/>
        <w:rPr/>
      </w:pPr>
      <w:r>
        <w:rPr/>
        <w:t> </w:t>
      </w:r>
    </w:p>
    <w:tbl>
      <w:tblPr>
        <w:tblW w:w="3257" w:type="dxa"/>
        <w:jc w:val="left"/>
        <w:tblInd w:w="0" w:type="dxa"/>
        <w:tblLayout w:type="fixed"/>
        <w:tblCellMar>
          <w:top w:w="28" w:type="dxa"/>
          <w:left w:w="28" w:type="dxa"/>
          <w:bottom w:w="28" w:type="dxa"/>
          <w:right w:w="28" w:type="dxa"/>
        </w:tblCellMar>
      </w:tblPr>
      <w:tblGrid>
        <w:gridCol w:w="1516"/>
        <w:gridCol w:w="146"/>
        <w:gridCol w:w="208"/>
        <w:gridCol w:w="408"/>
        <w:gridCol w:w="146"/>
        <w:gridCol w:w="146"/>
        <w:gridCol w:w="167"/>
        <w:gridCol w:w="329"/>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Liftboats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Liftboats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5277</Words>
  <Characters>27294</Characters>
  <CharactersWithSpaces>35141</CharactersWithSpaces>
  <Paragraphs>6918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