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April 29, 2026</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38"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001-37966</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47-2564547</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40" w:space="720"/>
            <w:col w:w="2540"/>
          </w:cols>
          <w:pgMar w:left="320" w:top="738" w:right="339" w:bottom="1440" w:gutter="0" w:footer="0" w:header="0"/>
          <w:type w:val="continuous"/>
        </w:sectPr>
      </w:pPr>
    </w:p>
    <w:p>
      <w:pPr>
        <w:spacing w:after="0" w:line="21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12121 Wickchester Lane, Suite 500, Houston, TX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77079</w:t>
      </w:r>
    </w:p>
    <w:p>
      <w:pPr>
        <w:spacing w:after="0" w:line="43" w:lineRule="exact"/>
        <w:rPr>
          <w:sz w:val="24"/>
          <w:szCs w:val="24"/>
          <w:color w:val="auto"/>
        </w:rPr>
      </w:pPr>
    </w:p>
    <w:p>
      <w:pPr>
        <w:sectPr>
          <w:pgSz w:w="11900" w:h="16838" w:orient="portrait"/>
          <w:cols w:equalWidth="0" w:num="2">
            <w:col w:w="8000" w:space="720"/>
            <w:col w:w="2520"/>
          </w:cols>
          <w:pgMar w:left="320" w:top="738" w:right="33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820" w:space="720"/>
            <w:col w:w="2700"/>
          </w:cols>
          <w:pgMar w:left="320" w:top="738" w:right="339" w:bottom="1440" w:gutter="0" w:footer="0" w:header="0"/>
          <w:type w:val="continuous"/>
        </w:sectPr>
      </w:pPr>
    </w:p>
    <w:p>
      <w:pPr>
        <w:spacing w:after="0" w:line="2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(346) 980-1700</w:t>
      </w:r>
    </w:p>
    <w:p>
      <w:pPr>
        <w:spacing w:after="0" w:line="204" w:lineRule="exact"/>
        <w:rPr>
          <w:sz w:val="24"/>
          <w:szCs w:val="24"/>
          <w:color w:val="auto"/>
        </w:rPr>
      </w:pPr>
    </w:p>
    <w:p>
      <w:pPr>
        <w:sectPr>
          <w:pgSz w:w="11900" w:h="16838" w:orient="portrait"/>
          <w:cols w:equalWidth="0" w:num="2">
            <w:col w:w="7660" w:space="720"/>
            <w:col w:w="2860"/>
          </w:cols>
          <w:pgMar w:left="320" w:top="738" w:right="339" w:bottom="1440" w:gutter="0" w:footer="0" w:header="0"/>
          <w:type w:val="continuous"/>
        </w:sect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tcPr>
          <w:p>
            <w:pPr>
              <w:spacing w:after="0"/>
              <w:rPr>
                <w:sz w:val="18"/>
                <w:szCs w:val="18"/>
                <w:color w:val="auto"/>
              </w:rPr>
            </w:pPr>
          </w:p>
        </w:tc>
        <w:tc>
          <w:tcPr>
            <w:tcW w:w="36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3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6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SMHI</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New York Stock Exchange (“NYSE”)</w:t>
            </w:r>
          </w:p>
        </w:tc>
      </w:tr>
    </w:tbl>
    <w:p>
      <w:pPr>
        <w:spacing w:after="0" w:line="30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set forth in (and incorporated by reference into) this Item 2.02 shall not be deemed “filed” for purposes of Section 18 of the Securities Exchange Act of 1934, as amended (the “Exchange Act”) or otherwise subject to the liabilities of that Section. The information set forth in (and incorporated by reference into) this Item 2.02 shall not be incorporated by reference into any filing under the Securities Act of 1933, as amended (the “Securities Act”), or the Exchange Act, except as shall be expressly set forth by specific reference in such a filing.</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April 29, 2026, SEACOR Marine Holdings Inc. issued a press release setting forth its earnings for the three months ended March 31, 2026 (the “Earnings Release”).</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copy of the Earnings Release is attached hereto as Exhibit 99.1 and hereby incorporated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06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SEACOR Marine Holdings Inc. dated April 29, 2026</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5060" w:type="dxa"/>
            <w:vAlign w:val="bottom"/>
            <w:tcBorders>
              <w:right w:val="single" w:sz="8" w:color="0000EE"/>
            </w:tcBorders>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8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57"/>
        </w:trPr>
        <w:tc>
          <w:tcPr>
            <w:tcW w:w="14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SEACOR Marine Holdings Inc.</w:t>
      </w:r>
    </w:p>
    <w:p>
      <w:pPr>
        <w:spacing w:after="0" w:line="223" w:lineRule="exact"/>
        <w:rPr>
          <w:sz w:val="20"/>
          <w:szCs w:val="20"/>
          <w:color w:val="auto"/>
        </w:rPr>
      </w:pPr>
    </w:p>
    <w:p>
      <w:pPr>
        <w:ind w:left="20"/>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John Gellert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628775"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SEACOR MARINE ANNOUNCES FIRST QUARTER 2026 RESULTS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IMMEDIATE RELEASE - </w:t>
      </w:r>
      <w:r>
        <w:rPr>
          <w:rFonts w:ascii="Times New Roman" w:cs="Times New Roman" w:eastAsia="Times New Roman" w:hAnsi="Times New Roman"/>
          <w:sz w:val="18"/>
          <w:szCs w:val="18"/>
          <w:color w:val="auto"/>
        </w:rPr>
        <w:t>SEACOR Marine Holdings Inc. (NYSE: SMHI) (the “Company” or “SEACOR Marine”), a leading provider of marine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support transportation services to offshore energy facilities worldwide, today announced results for its first quarter ended March 31, 2026.</w:t>
      </w:r>
    </w:p>
    <w:p>
      <w:pPr>
        <w:spacing w:after="0" w:line="1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SEACOR Marine’s consolidated operating revenues for the first quarter of 2026 were $44.3 million, operating loss was $6.4 million, and direct vessel profit (“DVP”)</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was $6.7 million. This compares to consolidated operating revenues of $55.5 million, operating loss of $5.3 million, and DVP of $13.6 million in the first quarter of 2025, and consolidated operating revenues of $52.3 million, operating loss of $5.2 million, and DVP of $9.7 million in the fourth quarter of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Notable first quarter items include:</w:t>
      </w:r>
    </w:p>
    <w:p>
      <w:pPr>
        <w:spacing w:after="0" w:line="27"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decrease in revenues from the first quarter of 2025 and a 15.4% decrease from the fourth quarter of 2025.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day rates of $18,199, a 3.3% decrease from the first quarter of 2025, and a 3.9% increase from the fourth quarter of 2025.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utilization, a decrease from 60% in the first quarter of 2025 and a decrease from 69% in the fourth quarter of 2025.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DVP margin of 15.2%, a decrease from 24.5% in the first quarter of 2025 and a decrease from 18.5% in the fourth quarter of 2025.</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the Company completed the sale of one 201’ platform supply vessel (“PSV”) built in 2015 for total proceeds of $14.6 million and a gain of $7.3 million.</w:t>
      </w:r>
    </w:p>
    <w:p>
      <w:pPr>
        <w:ind w:left="760" w:hanging="378"/>
        <w:spacing w:after="0" w:line="26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first quarter of 2026, the Company had an additional five vessels classified as held for sale. Two of these vessels were sold in April 2026, and the remaining three vessels are expected to be sold during the second quarter of 2026.</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2026, net loss was $15.8 million ($0.61 loss per basic and diluted share). This compares to a net loss for the first quarter of 2025 of $15.5 million ($0.56 loss per basic and diluted share). Sequentially, the first quarter 2026 results compare to a net loss of $14.6 million ($0.57 earnings per basic and diluted share) in the fourth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John Gellert commented: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quarter results reflect lower revenues driven by fewer available days following vessel sales in the last year, vessels repositioning or waiting to commence long term contracts during the quarter, and our two premium liftboats remaining under repair and uncontracted. Utilization should normalize at healthier levels once we have completed the repositioning of the fleet and have completed the sales of five vessels classified as held for sale during the second quarter of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improvement in average day rates is driven by the commencement of several term contracts for PSVs during the first quarter in Brazil and the North Sea. Rates for fast supply vessels (“FSVs”) were stable during the quarter, even as we redeployed two FSVs previously laid up in the United States to international markets and we brought the last remaining FSV out of laid up status in preparation for international deployment in the second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Geographically, we continue to see progress in the Latin America and West Africa regions, with the fleet in these regions largely contracted following the end of the first quarter. In the United States, we continue to see low levels of activity in the markets we serve and have adjusted our fleet presence accordingly.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regards to the Middle East, it is premature to evaluate the long-term impact of the conflict. In the short term, the conflict has increased labor and insurance costs in the region, and caused delays in our ability to conclude the maintenance scope of work for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two premium liftboats in the region. We do not expect either of these vessels to work during the second quarter of 2026. At the end of the first quarter, excluding the two liftboats, we had nine vessels in the region, of which seven have continued to operate for our customers in Saudi Arabia and Qatar, one vessel is held for sale, and one vessel was undergoing scheduled maintenance. I commend our crews and shore side personnel in the region for their dedication to maintaining safe, reliable operations in this environment.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Going forward, we are well positioned to participate in increased offshore drilling activities in South America and West Africa. In response to the conflict, energy security and diversification could drive additional investment into offshore projects, particularly deepwater, as well as work supporting customers restoring production capacity. SEACOR Marine is well positioned to continue to support our customers and participate in any incremental demand from offshore projects.”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 w:lineRule="exact"/>
        <w:rPr>
          <w:sz w:val="20"/>
          <w:szCs w:val="20"/>
          <w:color w:val="auto"/>
        </w:rPr>
      </w:pPr>
    </w:p>
    <w:p>
      <w:pPr>
        <w:jc w:val="both"/>
        <w:ind w:left="580" w:right="340" w:hanging="568"/>
        <w:spacing w:after="0" w:line="25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vessel profit (defined as operating revenues less operating costs and expenses,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 vessels). DVP is also useful when comparing the Company’s global fleet performance against those of our competitors who may have differing fleet financing structures. DVP has material limitations as an analytical tool in that it does not reflect all of the costs associated with the ownership and operation of our fleet, and it should not be considered in isolation or used as a substitute for our results as reported under GAAP. See page 4 for reconciliation of DVP to GAAP Operating Income (Loss), its most comparable GAAP measure.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SEACOR Marine provides global marine and support transportation services to offshore energy facilities worldwide. SEACOR Marine operates and manages a diverse fleet of offshore support vessels that deliver cargo and personnel to offshore installations, including offshore wind farms; assist offshore operations for production and storage facilities; provide construction, well work-over, offshore wind farm installation and decommissioning support; and carry and launch equipment used underwater in drilling and well installation, maintenance, inspection and repair. Additionally, SEACOR Marine’s vessels provide emergency response services and accommodations for technicians and specialists.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discussed in this release as well as in other reports, materials and oral statements that the Company releases from time to time to the public constitute “forward-looking statements” within the meaning of the Private Securities Litigation Reform Act of 1995. Generally, words such as “anticipate,” “estimate,” “expect,” “project,” “intend,” “believe,” “plan,” “target,” “forecast” and similar expressions are intended to identify forward-looking statements. Such forward-looking statements concern management’s expectations, strategic objectives, business prospects, anticipated economic performance and financial condition and other similar matters. Forward-looking statements are inherently uncertain and subject to a variety of assumptions, risks and uncertainties that could cause actual results to differ materially from those anticipated or expected by the management of the Company. These statements are not guarantees of future performance and actual events or results may differ significantly from these statements. Actual events or results are subject to significant known and unknown risks, uncertainties and other important factors, many of which are beyond the Company’s control and are described in the Company’s filings with the SEC. It should be understood that it is not possible to predict or identify all such factors. Given these risk factors, investors and analysts should not place undue reliance on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except as required by law. It is advisable, however, to consult any further disclosures the Company makes on related subjects in its filings with the Securities and Exchange Commission, including Annual Reports on Form 10-K, Quarterly Reports on Form 10-Q and Current Reports on Form 8-K (if any). These statements constitute the Company’s cautionary statements under the Private Securities Litigation Reform Act of 1995.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visit SEACOR Marine’s website at www.seacormarine.com for additional information.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all other requests, contact </w:t>
      </w:r>
      <w:r>
        <w:rPr>
          <w:rFonts w:ascii="Times New Roman" w:cs="Times New Roman" w:eastAsia="Times New Roman" w:hAnsi="Times New Roman"/>
          <w:sz w:val="18"/>
          <w:szCs w:val="18"/>
          <w:u w:val="single" w:color="auto"/>
          <w:color w:val="0563C1"/>
        </w:rPr>
        <w:t>InvestorRelations@seacormarine.com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142"/>
        </w:trPr>
        <w:tc>
          <w:tcPr>
            <w:tcW w:w="6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1220" w:type="dxa"/>
            <w:vAlign w:val="bottom"/>
            <w:gridSpan w:val="2"/>
            <w:shd w:val="clear" w:color="auto" w:fill="CFF0FC"/>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44,282</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55,499</w:t>
            </w:r>
          </w:p>
        </w:tc>
        <w:tc>
          <w:tcPr>
            <w:tcW w:w="100" w:type="dxa"/>
            <w:vAlign w:val="bottom"/>
            <w:shd w:val="clear" w:color="auto" w:fill="CFF0FC"/>
          </w:tcPr>
          <w:p>
            <w:pPr>
              <w:spacing w:after="0"/>
              <w:rPr>
                <w:sz w:val="12"/>
                <w:szCs w:val="12"/>
                <w:color w:val="auto"/>
              </w:rPr>
            </w:pPr>
          </w:p>
        </w:tc>
      </w:tr>
      <w:tr>
        <w:trPr>
          <w:trHeight w:val="142"/>
        </w:trPr>
        <w:tc>
          <w:tcPr>
            <w:tcW w:w="61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Costs and Expenses:</w:t>
            </w:r>
          </w:p>
        </w:tc>
        <w:tc>
          <w:tcPr>
            <w:tcW w:w="76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37,573</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41,928</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Administrative and general</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11,486</w:t>
            </w:r>
          </w:p>
        </w:tc>
        <w:tc>
          <w:tcPr>
            <w:tcW w:w="100" w:type="dxa"/>
            <w:vAlign w:val="bottom"/>
          </w:tcPr>
          <w:p>
            <w:pPr>
              <w:spacing w:after="0"/>
              <w:rPr>
                <w:sz w:val="12"/>
                <w:szCs w:val="12"/>
                <w:color w:val="auto"/>
              </w:rPr>
            </w:pPr>
          </w:p>
        </w:tc>
      </w:tr>
      <w:tr>
        <w:trPr>
          <w:trHeight w:val="149"/>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12,810</w:t>
            </w:r>
          </w:p>
        </w:tc>
        <w:tc>
          <w:tcPr>
            <w:tcW w:w="100" w:type="dxa"/>
            <w:vAlign w:val="bottom"/>
          </w:tcPr>
          <w:p>
            <w:pPr>
              <w:spacing w:after="0"/>
              <w:rPr>
                <w:sz w:val="12"/>
                <w:szCs w:val="12"/>
                <w:color w:val="auto"/>
              </w:rPr>
            </w:pPr>
          </w:p>
        </w:tc>
      </w:tr>
      <w:tr>
        <w:trPr>
          <w:trHeight w:val="142"/>
        </w:trPr>
        <w:tc>
          <w:tcPr>
            <w:tcW w:w="61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58,107</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66,561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Gains on Asset Dispositions and Impairments, Net</w:t>
            </w:r>
          </w:p>
        </w:tc>
        <w:tc>
          <w:tcPr>
            <w:tcW w:w="7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7,448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5,809</w:t>
            </w:r>
          </w:p>
        </w:tc>
        <w:tc>
          <w:tcPr>
            <w:tcW w:w="100" w:type="dxa"/>
            <w:vAlign w:val="bottom"/>
          </w:tcPr>
          <w:p>
            <w:pPr>
              <w:spacing w:after="0"/>
              <w:rPr>
                <w:sz w:val="12"/>
                <w:szCs w:val="12"/>
                <w:color w:val="auto"/>
              </w:rPr>
            </w:pPr>
          </w:p>
        </w:tc>
      </w:tr>
      <w:tr>
        <w:trPr>
          <w:trHeight w:val="142"/>
        </w:trPr>
        <w:tc>
          <w:tcPr>
            <w:tcW w:w="6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Loss</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(6,377)</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(5,253)</w:t>
            </w:r>
          </w:p>
        </w:tc>
      </w:tr>
      <w:tr>
        <w:trPr>
          <w:trHeight w:val="142"/>
        </w:trPr>
        <w:tc>
          <w:tcPr>
            <w:tcW w:w="61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Other Income (Expense):</w:t>
            </w:r>
          </w:p>
        </w:tc>
        <w:tc>
          <w:tcPr>
            <w:tcW w:w="76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9"/>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(8,239)</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(9,586)</w:t>
            </w: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 gains, net</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Foreign currency gains (losses), net</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(1,196)</w:t>
            </w:r>
          </w:p>
        </w:tc>
      </w:tr>
      <w:tr>
        <w:trPr>
          <w:trHeight w:val="142"/>
        </w:trPr>
        <w:tc>
          <w:tcPr>
            <w:tcW w:w="6120" w:type="dxa"/>
            <w:vAlign w:val="bottom"/>
            <w:tcBorders>
              <w:top w:val="single" w:sz="8" w:color="CFF0FC"/>
              <w:bottom w:val="single" w:sz="8" w:color="CFF0FC"/>
            </w:tcBorders>
            <w:shd w:val="clear" w:color="auto" w:fill="CFF0FC"/>
          </w:tcPr>
          <w:p>
            <w:pPr>
              <w:spacing w:after="0"/>
              <w:rPr>
                <w:sz w:val="12"/>
                <w:szCs w:val="12"/>
                <w:color w:val="auto"/>
              </w:rPr>
            </w:pPr>
          </w:p>
        </w:tc>
        <w:tc>
          <w:tcPr>
            <w:tcW w:w="760" w:type="dxa"/>
            <w:vAlign w:val="bottom"/>
            <w:tcBorders>
              <w:top w:val="single" w:sz="8" w:color="CFF0FC"/>
              <w:bottom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spacing w:after="0"/>
              <w:rPr>
                <w:sz w:val="12"/>
                <w:szCs w:val="12"/>
                <w:color w:val="auto"/>
              </w:rPr>
            </w:pP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(7,270)</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(10,221)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Loss Before Income Tax Expense and Equity in Earnings of 50% or Less Owned Companies</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(13,647)</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(15,474)</w:t>
            </w:r>
          </w:p>
        </w:tc>
      </w:tr>
      <w:tr>
        <w:trPr>
          <w:trHeight w:val="148"/>
        </w:trPr>
        <w:tc>
          <w:tcPr>
            <w:tcW w:w="61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7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2,208</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Loss Before Equity in Earnings of 50% or Less Owned Companies</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(15,855)</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(16,378)</w:t>
            </w:r>
          </w:p>
        </w:tc>
      </w:tr>
      <w:tr>
        <w:trPr>
          <w:trHeight w:val="149"/>
        </w:trPr>
        <w:tc>
          <w:tcPr>
            <w:tcW w:w="61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50% or Less Owned Companies</w:t>
            </w:r>
          </w:p>
        </w:tc>
        <w:tc>
          <w:tcPr>
            <w:tcW w:w="7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(15,805)</w:t>
            </w:r>
          </w:p>
        </w:tc>
        <w:tc>
          <w:tcPr>
            <w:tcW w:w="960" w:type="dxa"/>
            <w:vAlign w:val="bottom"/>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(15,489)</w:t>
            </w:r>
          </w:p>
        </w:tc>
      </w:tr>
      <w:tr>
        <w:trPr>
          <w:trHeight w:val="20"/>
        </w:trPr>
        <w:tc>
          <w:tcPr>
            <w:tcW w:w="6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20" w:type="dxa"/>
            <w:vAlign w:val="bottom"/>
            <w:gridSpan w:val="2"/>
            <w:shd w:val="clear" w:color="auto" w:fill="CFF0FC"/>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960" w:type="dxa"/>
            <w:vAlign w:val="bottom"/>
            <w:gridSpan w:val="2"/>
            <w:shd w:val="clear" w:color="auto" w:fill="CFF0FC"/>
          </w:tcPr>
          <w:p>
            <w:pPr>
              <w:jc w:val="right"/>
              <w:ind w:righ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(0.56)</w:t>
            </w: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96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(0.56)</w:t>
            </w:r>
          </w:p>
        </w:tc>
      </w:tr>
      <w:tr>
        <w:trPr>
          <w:trHeight w:val="149"/>
        </w:trPr>
        <w:tc>
          <w:tcPr>
            <w:tcW w:w="6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Common Stock and Warrants Outstanding:</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25,784,915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27,908,297</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25,784,915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27,908,297</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-2553970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-1971040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-1765300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-1297940</wp:posOffset>
            </wp:positionV>
            <wp:extent cx="939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-1297940</wp:posOffset>
            </wp:positionV>
            <wp:extent cx="939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-985520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-788035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statistics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160" w:type="dxa"/>
            <w:vAlign w:val="bottom"/>
          </w:tcPr>
          <w:p>
            <w:pPr>
              <w:spacing w:after="0"/>
              <w:rPr>
                <w:sz w:val="13"/>
                <w:szCs w:val="13"/>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 30, 2025</w:t>
            </w:r>
          </w:p>
        </w:tc>
        <w:tc>
          <w:tcPr>
            <w:tcW w:w="140" w:type="dxa"/>
            <w:vAlign w:val="bottom"/>
          </w:tcPr>
          <w:p>
            <w:pPr>
              <w:spacing w:after="0"/>
              <w:rPr>
                <w:sz w:val="13"/>
                <w:szCs w:val="13"/>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 31, 2025</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Time Charter Statistics:</w:t>
            </w:r>
          </w:p>
        </w:tc>
        <w:tc>
          <w:tcPr>
            <w:tcW w:w="1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Average Rates Per Day</w:t>
            </w:r>
          </w:p>
        </w:tc>
        <w:tc>
          <w:tcPr>
            <w:tcW w:w="3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18,199</w:t>
            </w:r>
          </w:p>
        </w:tc>
        <w:tc>
          <w:tcPr>
            <w:tcW w:w="240" w:type="dxa"/>
            <w:vAlign w:val="bottom"/>
          </w:tcPr>
          <w:p>
            <w:pPr>
              <w:spacing w:after="0"/>
              <w:rPr>
                <w:sz w:val="10"/>
                <w:szCs w:val="10"/>
                <w:color w:val="auto"/>
              </w:rPr>
            </w:pPr>
          </w:p>
        </w:tc>
        <w:tc>
          <w:tcPr>
            <w:tcW w:w="160" w:type="dxa"/>
            <w:vAlign w:val="bottom"/>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17,519</w:t>
            </w:r>
          </w:p>
        </w:tc>
        <w:tc>
          <w:tcPr>
            <w:tcW w:w="180" w:type="dxa"/>
            <w:vAlign w:val="bottom"/>
          </w:tcPr>
          <w:p>
            <w:pPr>
              <w:spacing w:after="0"/>
              <w:rPr>
                <w:sz w:val="10"/>
                <w:szCs w:val="10"/>
                <w:color w:val="auto"/>
              </w:rPr>
            </w:pPr>
          </w:p>
        </w:tc>
        <w:tc>
          <w:tcPr>
            <w:tcW w:w="220" w:type="dxa"/>
            <w:vAlign w:val="bottom"/>
            <w:gridSpan w:val="2"/>
          </w:tcPr>
          <w:p>
            <w:pPr>
              <w:jc w:val="right"/>
              <w:ind w:right="23"/>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19,490</w:t>
            </w:r>
          </w:p>
        </w:tc>
        <w:tc>
          <w:tcPr>
            <w:tcW w:w="240" w:type="dxa"/>
            <w:vAlign w:val="bottom"/>
          </w:tcPr>
          <w:p>
            <w:pPr>
              <w:spacing w:after="0"/>
              <w:rPr>
                <w:sz w:val="10"/>
                <w:szCs w:val="10"/>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19,731</w:t>
            </w:r>
          </w:p>
        </w:tc>
        <w:tc>
          <w:tcPr>
            <w:tcW w:w="240" w:type="dxa"/>
            <w:vAlign w:val="bottom"/>
          </w:tcPr>
          <w:p>
            <w:pPr>
              <w:spacing w:after="0"/>
              <w:rPr>
                <w:sz w:val="10"/>
                <w:szCs w:val="10"/>
                <w:color w:val="auto"/>
              </w:rPr>
            </w:pPr>
          </w:p>
        </w:tc>
        <w:tc>
          <w:tcPr>
            <w:tcW w:w="1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18,825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6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Fleet Utilization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59%</w:t>
            </w:r>
          </w:p>
        </w:tc>
        <w:tc>
          <w:tcPr>
            <w:tcW w:w="160" w:type="dxa"/>
            <w:vAlign w:val="bottom"/>
          </w:tcPr>
          <w:p>
            <w:pPr>
              <w:spacing w:after="0"/>
              <w:rPr>
                <w:sz w:val="12"/>
                <w:szCs w:val="12"/>
                <w:color w:val="auto"/>
              </w:rPr>
            </w:pPr>
          </w:p>
        </w:tc>
        <w:tc>
          <w:tcPr>
            <w:tcW w:w="13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2"/>
                <w:szCs w:val="12"/>
                <w:color w:val="auto"/>
              </w:rPr>
            </w:pPr>
          </w:p>
        </w:tc>
        <w:tc>
          <w:tcPr>
            <w:tcW w:w="12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6"/>
        </w:trPr>
        <w:tc>
          <w:tcPr>
            <w:tcW w:w="3560" w:type="dxa"/>
            <w:vAlign w:val="bottom"/>
          </w:tcPr>
          <w:p>
            <w:pPr>
              <w:ind w:left="80"/>
              <w:spacing w:after="0" w:line="175" w:lineRule="exact"/>
              <w:rPr>
                <w:sz w:val="20"/>
                <w:szCs w:val="20"/>
                <w:color w:val="auto"/>
              </w:rPr>
            </w:pPr>
            <w:r>
              <w:rPr>
                <w:rFonts w:ascii="Times New Roman" w:cs="Times New Roman" w:eastAsia="Times New Roman" w:hAnsi="Times New Roman"/>
                <w:sz w:val="14"/>
                <w:szCs w:val="14"/>
                <w:color w:val="auto"/>
              </w:rPr>
              <w:t xml:space="preserve">Fleet Available Days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41,957</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49,817</w:t>
            </w:r>
          </w:p>
        </w:tc>
        <w:tc>
          <w:tcPr>
            <w:tcW w:w="1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55,958</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57,673</w:t>
            </w:r>
          </w:p>
        </w:tc>
        <w:tc>
          <w:tcPr>
            <w:tcW w:w="2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51,933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Bareboat charter</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44,282</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52,329</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59,194</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60,810</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55,499</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15,422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13,648</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8,520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2,982</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5,199</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7,030</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6,622</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4,455</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4,303</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Profit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37,573</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47,684</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49,493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41,928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6,709</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11,510</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11,317</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Administrative and general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10,330</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10,045</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12,090</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12,810</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23,036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23,674</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24,413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24,633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Gains on Asset Dispositions and Impairments, Net</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7,448</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8,210</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30,230</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19,163</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5,809</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(Loss) Income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(6,377)</w:t>
            </w: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(5,164)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18,066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6,067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(5,253)</w:t>
            </w: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(8,239)</w:t>
            </w: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(8,673)</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(8,947)</w:t>
            </w:r>
          </w:p>
        </w:tc>
        <w:tc>
          <w:tcPr>
            <w:tcW w:w="140" w:type="dxa"/>
            <w:vAlign w:val="bottom"/>
            <w:shd w:val="clear" w:color="auto" w:fill="CFF0FC"/>
          </w:tcPr>
          <w:p>
            <w:pPr>
              <w:spacing w:after="0"/>
              <w:rPr>
                <w:sz w:val="12"/>
                <w:szCs w:val="12"/>
                <w:color w:val="auto"/>
              </w:rPr>
            </w:pPr>
          </w:p>
        </w:tc>
        <w:tc>
          <w:tcPr>
            <w:tcW w:w="138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(8,844)</w:t>
            </w: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(9,586)</w:t>
            </w:r>
          </w:p>
        </w:tc>
        <w:tc>
          <w:tcPr>
            <w:tcW w:w="0" w:type="dxa"/>
            <w:vAlign w:val="bottom"/>
          </w:tcPr>
          <w:p>
            <w:pPr>
              <w:spacing w:after="0"/>
              <w:rPr>
                <w:sz w:val="1"/>
                <w:szCs w:val="1"/>
                <w:color w:val="auto"/>
              </w:rPr>
            </w:pPr>
          </w:p>
        </w:tc>
      </w:tr>
      <w:tr>
        <w:trPr>
          <w:trHeight w:val="148"/>
        </w:trPr>
        <w:tc>
          <w:tcPr>
            <w:tcW w:w="3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Derivative (losses) gains,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Foreign currency gains (losses), net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(2,119)</w:t>
            </w: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149"/>
        </w:trPr>
        <w:tc>
          <w:tcPr>
            <w:tcW w:w="3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Gains on insurance claim settlement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40" w:type="dxa"/>
            <w:vAlign w:val="bottom"/>
            <w:shd w:val="clear" w:color="auto" w:fill="CFF0FC"/>
          </w:tcPr>
          <w:p>
            <w:pPr>
              <w:spacing w:after="0"/>
              <w:rPr>
                <w:sz w:val="12"/>
                <w:szCs w:val="12"/>
                <w:color w:val="auto"/>
              </w:rPr>
            </w:pPr>
          </w:p>
        </w:tc>
        <w:tc>
          <w:tcPr>
            <w:tcW w:w="138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(7,270)</w:t>
            </w: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(8,001)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(4,055)</w:t>
            </w: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(10,504)</w:t>
            </w:r>
          </w:p>
        </w:tc>
        <w:tc>
          <w:tcPr>
            <w:tcW w:w="140" w:type="dxa"/>
            <w:vAlign w:val="bottom"/>
          </w:tcPr>
          <w:p>
            <w:pPr>
              <w:spacing w:after="0"/>
              <w:rPr>
                <w:sz w:val="12"/>
                <w:szCs w:val="12"/>
                <w:color w:val="auto"/>
              </w:rPr>
            </w:pPr>
          </w:p>
        </w:tc>
        <w:tc>
          <w:tcPr>
            <w:tcW w:w="12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(10,221)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5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(Loss) Income Before Income Tax Expense and Equity in</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(13,647)</w:t>
            </w:r>
          </w:p>
        </w:tc>
        <w:tc>
          <w:tcPr>
            <w:tcW w:w="16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(13,165)</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14,011</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(4,437)</w:t>
            </w:r>
          </w:p>
        </w:tc>
        <w:tc>
          <w:tcPr>
            <w:tcW w:w="14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(15,474)</w:t>
            </w:r>
          </w:p>
        </w:tc>
        <w:tc>
          <w:tcPr>
            <w:tcW w:w="0" w:type="dxa"/>
            <w:vAlign w:val="bottom"/>
          </w:tcPr>
          <w:p>
            <w:pPr>
              <w:spacing w:after="0"/>
              <w:rPr>
                <w:sz w:val="1"/>
                <w:szCs w:val="1"/>
                <w:color w:val="auto"/>
              </w:rPr>
            </w:pPr>
          </w:p>
        </w:tc>
      </w:tr>
      <w:tr>
        <w:trPr>
          <w:trHeight w:val="171"/>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Earnings of 50% or Less Owned Companies</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2,208</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(Loss) Income Before Equity in Earnings of 50% or Less</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(15,855)</w:t>
            </w:r>
          </w:p>
        </w:tc>
        <w:tc>
          <w:tcPr>
            <w:tcW w:w="16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(14,853)</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(6,945)</w:t>
            </w:r>
          </w:p>
        </w:tc>
        <w:tc>
          <w:tcPr>
            <w:tcW w:w="14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(16,378)</w:t>
            </w:r>
          </w:p>
        </w:tc>
        <w:tc>
          <w:tcPr>
            <w:tcW w:w="0" w:type="dxa"/>
            <w:vAlign w:val="bottom"/>
          </w:tcPr>
          <w:p>
            <w:pPr>
              <w:spacing w:after="0"/>
              <w:rPr>
                <w:sz w:val="1"/>
                <w:szCs w:val="1"/>
                <w:color w:val="auto"/>
              </w:rPr>
            </w:pPr>
          </w:p>
        </w:tc>
      </w:tr>
      <w:tr>
        <w:trPr>
          <w:trHeight w:val="171"/>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Owned Companies</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50% or Less Owned Companies</w:t>
            </w: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Income</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(15,805)</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(14,622)</w:t>
            </w: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8,994</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(6,727)</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(15,489)</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Earnings Per Share:</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22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126"/>
        </w:trPr>
        <w:tc>
          <w:tcPr>
            <w:tcW w:w="3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Common Stock and Warrants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25,687</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25,687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 Shares and Warrants Outstanding at Period End</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26,976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26,976</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29,488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-4653915</wp:posOffset>
            </wp:positionV>
            <wp:extent cx="7132320"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-3985260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-3985260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-3985260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-3985260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-3985260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-3222625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-3222625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-3222625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-3222625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-3222625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-3110865</wp:posOffset>
            </wp:positionV>
            <wp:extent cx="71323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-2630805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-2630805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-2630805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-2630805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-2630805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-2425065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-2425065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-2425065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-2425065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-2425065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-1662430</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-1662430</wp:posOffset>
            </wp:positionV>
            <wp:extent cx="85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-1662430</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-1662430</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-1662430</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-873760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-856615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-976630</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-873760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-856615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-976630</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-873760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-856615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-976630</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-873760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-856615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-976630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-873760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-856615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full description of footnote above.</w:t>
      </w:r>
    </w:p>
    <w:p>
      <w:pPr>
        <w:spacing w:after="0" w:line="27"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available days for a bareboat charter for one PSV, which has been excluded from days worked and average day rates.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DIRECT VESSEL PROFIT (“DVP”) BY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 30, 2025</w:t>
            </w:r>
          </w:p>
        </w:tc>
        <w:tc>
          <w:tcPr>
            <w:tcW w:w="160" w:type="dxa"/>
            <w:vAlign w:val="bottom"/>
          </w:tcPr>
          <w:p>
            <w:pPr>
              <w:spacing w:after="0"/>
              <w:rPr>
                <w:sz w:val="13"/>
                <w:szCs w:val="13"/>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 31, 2025</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United States, primarily Gulf of America</w:t>
            </w: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15,587</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15,350</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20,419</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14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cold-stacked status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10,024</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6,765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2,294</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4,814</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11,132</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13,380</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7,000</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(Loss) Profit </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3,441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9,837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15,196</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(1,816)</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Costs and Expenses:</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Africa and Europe</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18,711</w:t>
            </w:r>
          </w:p>
        </w:tc>
        <w:tc>
          <w:tcPr>
            <w:tcW w:w="200" w:type="dxa"/>
            <w:vAlign w:val="bottom"/>
          </w:tcPr>
          <w:p>
            <w:pPr>
              <w:spacing w:after="0"/>
              <w:rPr>
                <w:sz w:val="12"/>
                <w:szCs w:val="12"/>
                <w:color w:val="auto"/>
              </w:rPr>
            </w:pPr>
          </w:p>
        </w:tc>
        <w:tc>
          <w:tcPr>
            <w:tcW w:w="2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17,095</w:t>
            </w:r>
          </w:p>
        </w:tc>
        <w:tc>
          <w:tcPr>
            <w:tcW w:w="160" w:type="dxa"/>
            <w:vAlign w:val="bottom"/>
          </w:tcPr>
          <w:p>
            <w:pPr>
              <w:spacing w:after="0"/>
              <w:rPr>
                <w:sz w:val="12"/>
                <w:szCs w:val="12"/>
                <w:color w:val="auto"/>
              </w:rPr>
            </w:pPr>
          </w:p>
        </w:tc>
        <w:tc>
          <w:tcPr>
            <w:tcW w:w="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17,983</w:t>
            </w:r>
          </w:p>
        </w:tc>
        <w:tc>
          <w:tcPr>
            <w:tcW w:w="180" w:type="dxa"/>
            <w:vAlign w:val="bottom"/>
          </w:tcPr>
          <w:p>
            <w:pPr>
              <w:spacing w:after="0"/>
              <w:rPr>
                <w:sz w:val="12"/>
                <w:szCs w:val="12"/>
                <w:color w:val="auto"/>
              </w:rPr>
            </w:pP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19,140</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14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14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22,534</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22,317</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22,357</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24,535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20,835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23,111</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22,897</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23,090</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25,341</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21,687</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2,957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4,646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3,462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3,192</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3,573</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2,357</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2,727</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Profit </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12,971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14,668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18,089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16,032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10,140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5,001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9,309</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Costs and Expenses:</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-3728085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-3728085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-3728085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-3728085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-3728085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-2964815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-2964815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-2964815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-2964815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-2964815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-1301750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-1301750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-1301750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-1301750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-1301750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-539115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-539115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-539115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-539115</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-539115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9512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7"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full description of footnote above.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DIRECT VESSEL PROFIT (“DVP”) BY SEGMENT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tbl>
      <w:tblPr>
        <w:tblLayout w:type="fixed"/>
        <w:tblInd w:w="0" w:type="dxa"/>
        <w:tblCellMar>
          <w:top w:w="0" w:type="dxa"/>
          <w:left w:w="0" w:type="dxa"/>
          <w:bottom w:w="0" w:type="dxa"/>
          <w:right w:w="0" w:type="dxa"/>
        </w:tblCellMar>
      </w:tblPr>
      <w:tr>
        <w:trPr>
          <w:trHeight w:val="133"/>
        </w:trPr>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600" w:type="dxa"/>
            <w:vAlign w:val="bottom"/>
            <w:gridSpan w:val="4"/>
          </w:tcPr>
          <w:p>
            <w:pPr>
              <w:jc w:val="right"/>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 30, 2025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 31, 2025</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Middle East and Asia</w:t>
            </w:r>
          </w:p>
        </w:tc>
        <w:tc>
          <w:tcPr>
            <w:tcW w:w="4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17,587</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15,506</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17,848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6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9,580</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13,940</w:t>
            </w:r>
          </w:p>
        </w:tc>
        <w:tc>
          <w:tcPr>
            <w:tcW w:w="1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12,606</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12,365</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10,218</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12,925</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12,797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4,433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4,768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1,279</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(Loss) Profit </w:t>
            </w:r>
            <w:r>
              <w:rPr>
                <w:rFonts w:ascii="Times New Roman" w:cs="Times New Roman" w:eastAsia="Times New Roman" w:hAnsi="Times New Roman"/>
                <w:sz w:val="19"/>
                <w:szCs w:val="19"/>
                <w:color w:val="auto"/>
                <w:vertAlign w:val="superscript"/>
              </w:rPr>
              <w:t>(1)</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13,629</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13,772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14,087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10,929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(3,411)</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(847)</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5,073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3,227</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Latin America</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19,946</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23,764</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22,084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0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Fleet utilization</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0"/>
                <w:szCs w:val="10"/>
                <w:color w:val="auto"/>
              </w:rPr>
            </w:pPr>
          </w:p>
        </w:tc>
        <w:tc>
          <w:tcPr>
            <w:tcW w:w="13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line="153" w:lineRule="exact"/>
              <w:rPr>
                <w:sz w:val="20"/>
                <w:szCs w:val="20"/>
                <w:color w:val="auto"/>
              </w:rPr>
            </w:pPr>
            <w:r>
              <w:rPr>
                <w:rFonts w:ascii="Times New Roman" w:cs="Times New Roman" w:eastAsia="Times New Roman" w:hAnsi="Times New Roman"/>
                <w:sz w:val="13"/>
                <w:szCs w:val="13"/>
                <w:color w:val="auto"/>
              </w:rPr>
              <w:t xml:space="preserve">Fleet available days </w:t>
            </w:r>
            <w:r>
              <w:rPr>
                <w:rFonts w:ascii="Times New Roman" w:cs="Times New Roman" w:eastAsia="Times New Roman" w:hAnsi="Times New Roman"/>
                <w:sz w:val="17"/>
                <w:szCs w:val="17"/>
                <w:color w:val="auto"/>
                <w:vertAlign w:val="superscript"/>
              </w:rPr>
              <w:t>(2)</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807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772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635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546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582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7,750</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9,183</w:t>
            </w:r>
          </w:p>
        </w:tc>
        <w:tc>
          <w:tcPr>
            <w:tcW w:w="1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10,971</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8,568</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Bareboat charter</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8,659</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10,108</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12,047</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9,292</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10,810</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346</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Profit </w:t>
            </w:r>
            <w:r>
              <w:rPr>
                <w:rFonts w:ascii="Times New Roman" w:cs="Times New Roman" w:eastAsia="Times New Roman" w:hAnsi="Times New Roman"/>
                <w:sz w:val="19"/>
                <w:szCs w:val="19"/>
                <w:color w:val="auto"/>
                <w:vertAlign w:val="superscript"/>
              </w:rPr>
              <w:t>(1)</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7,532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5,986</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4,178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1,127</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6,061</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6,099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-3924935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-3924935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-3924935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-3924935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-3924935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-3050540</wp:posOffset>
            </wp:positionV>
            <wp:extent cx="713232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-1301750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-1301750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-1301750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-1301750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-1301750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-539115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-539115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-539115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-539115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-539115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9512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7" w:lineRule="exact"/>
        <w:rPr>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full description of footnote above.</w:t>
      </w:r>
    </w:p>
    <w:p>
      <w:pPr>
        <w:spacing w:after="0" w:line="28"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available days for a bareboat charter for one PSV, which has been excluded from days worked and average day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BY VESSEL CLASS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 30, 2025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 31, 2025</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AHTS</w:t>
            </w: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2"/>
                <w:szCs w:val="12"/>
                <w:color w:val="auto"/>
              </w:rPr>
            </w:pPr>
          </w:p>
        </w:tc>
        <w:tc>
          <w:tcPr>
            <w:tcW w:w="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FSV</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13,833</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14,114</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14,007</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13,468</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13,786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14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cold-stacked status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18,929</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20,546</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19,131</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17,573</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19,400</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21,038</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19,697</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18,089</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20,119</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5,166</w:t>
            </w:r>
          </w:p>
        </w:tc>
        <w:tc>
          <w:tcPr>
            <w:tcW w:w="200" w:type="dxa"/>
            <w:vAlign w:val="bottom"/>
          </w:tcPr>
          <w:p>
            <w:pPr>
              <w:spacing w:after="0"/>
              <w:rPr>
                <w:sz w:val="12"/>
                <w:szCs w:val="12"/>
                <w:color w:val="auto"/>
              </w:rPr>
            </w:pPr>
          </w:p>
        </w:tc>
        <w:tc>
          <w:tcPr>
            <w:tcW w:w="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4,980</w:t>
            </w:r>
          </w:p>
        </w:tc>
        <w:tc>
          <w:tcPr>
            <w:tcW w:w="160" w:type="dxa"/>
            <w:vAlign w:val="bottom"/>
          </w:tcPr>
          <w:p>
            <w:pPr>
              <w:spacing w:after="0"/>
              <w:rPr>
                <w:sz w:val="12"/>
                <w:szCs w:val="12"/>
                <w:color w:val="auto"/>
              </w:rPr>
            </w:pPr>
          </w:p>
        </w:tc>
        <w:tc>
          <w:tcPr>
            <w:tcW w:w="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4,502</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4,526</w:t>
            </w:r>
          </w:p>
        </w:tc>
        <w:tc>
          <w:tcPr>
            <w:tcW w:w="20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3,179</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5,862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6,041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3,542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2,889</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12,770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15,860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12,294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11,741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200" w:type="dxa"/>
            <w:vAlign w:val="bottom"/>
          </w:tcPr>
          <w:p>
            <w:pPr>
              <w:spacing w:after="0"/>
              <w:rPr>
                <w:sz w:val="16"/>
                <w:szCs w:val="16"/>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w:t>
            </w:r>
          </w:p>
        </w:tc>
        <w:tc>
          <w:tcPr>
            <w:tcW w:w="16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18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20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-3299460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-3299460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-3299460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-3299460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-3299460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-2527935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-2527935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-2527935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-2527935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-2527935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-1087755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-1087755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-1087755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-1087755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-1087755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-324485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-324485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-324485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-324485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-324485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BY VESSEL CLASS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tbl>
      <w:tblPr>
        <w:tblLayout w:type="fixed"/>
        <w:tblInd w:w="0" w:type="dxa"/>
        <w:tblCellMar>
          <w:top w:w="0" w:type="dxa"/>
          <w:left w:w="0" w:type="dxa"/>
          <w:bottom w:w="0" w:type="dxa"/>
          <w:right w:w="0" w:type="dxa"/>
        </w:tblCellMar>
      </w:tblPr>
      <w:tr>
        <w:trPr>
          <w:trHeight w:val="133"/>
        </w:trPr>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600" w:type="dxa"/>
            <w:vAlign w:val="bottom"/>
            <w:gridSpan w:val="4"/>
          </w:tcPr>
          <w:p>
            <w:pPr>
              <w:jc w:val="right"/>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 30, 2025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 31, 2025</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PSV</w:t>
            </w:r>
          </w:p>
        </w:tc>
        <w:tc>
          <w:tcPr>
            <w:tcW w:w="4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25,352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20,118</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22,231</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19,424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Fleet utilization</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0"/>
                <w:szCs w:val="10"/>
                <w:color w:val="auto"/>
              </w:rPr>
            </w:pPr>
          </w:p>
        </w:tc>
        <w:tc>
          <w:tcPr>
            <w:tcW w:w="13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68%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line="153" w:lineRule="exact"/>
              <w:rPr>
                <w:sz w:val="20"/>
                <w:szCs w:val="20"/>
                <w:color w:val="auto"/>
              </w:rPr>
            </w:pPr>
            <w:r>
              <w:rPr>
                <w:rFonts w:ascii="Times New Roman" w:cs="Times New Roman" w:eastAsia="Times New Roman" w:hAnsi="Times New Roman"/>
                <w:sz w:val="13"/>
                <w:szCs w:val="13"/>
                <w:color w:val="auto"/>
              </w:rPr>
              <w:t xml:space="preserve">Fleet available days </w:t>
            </w:r>
            <w:r>
              <w:rPr>
                <w:rFonts w:ascii="Times New Roman" w:cs="Times New Roman" w:eastAsia="Times New Roman" w:hAnsi="Times New Roman"/>
                <w:sz w:val="17"/>
                <w:szCs w:val="17"/>
                <w:color w:val="auto"/>
                <w:vertAlign w:val="superscript"/>
              </w:rPr>
              <w:t>(1)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1,585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1,735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1,748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1,738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1,890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21,688</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23,801</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24,439</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26,440</w:t>
            </w:r>
          </w:p>
        </w:tc>
        <w:tc>
          <w:tcPr>
            <w:tcW w:w="18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Bareboat charter</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23,327</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25,084</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25,877</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27,711</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21,502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7,348</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8,322</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7,882</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8,567</w:t>
            </w:r>
          </w:p>
        </w:tc>
        <w:tc>
          <w:tcPr>
            <w:tcW w:w="18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4,618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4,378</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3,262</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15,223</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19,451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20,056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2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w:t>
            </w:r>
          </w:p>
        </w:tc>
        <w:tc>
          <w:tcPr>
            <w:tcW w:w="18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240" w:type="dxa"/>
            <w:vAlign w:val="bottom"/>
          </w:tcPr>
          <w:p>
            <w:pPr>
              <w:spacing w:after="0"/>
              <w:rPr>
                <w:sz w:val="16"/>
                <w:szCs w:val="16"/>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8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-1850390</wp:posOffset>
            </wp:positionV>
            <wp:extent cx="7132320" cy="93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-1087755</wp:posOffset>
            </wp:positionV>
            <wp:extent cx="85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-1087755</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-1087755</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-1087755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-1087755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-324485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-324485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-324485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-324485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-324485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9512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7"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available days for a bareboat charter for one PSV, which has been excluded from days worked and average day rates.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BY VESSEL CLASS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6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 30, 2025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 31, 2025</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Liftboats</w:t>
            </w:r>
          </w:p>
        </w:tc>
        <w:tc>
          <w:tcPr>
            <w:tcW w:w="4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26,703</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33,566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31,904</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39,559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cold-stacked status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5,470</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13,682</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13,516</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14,850</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13,564</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2,897</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3,241</w:t>
            </w:r>
          </w:p>
        </w:tc>
        <w:tc>
          <w:tcPr>
            <w:tcW w:w="16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5,209</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5,673</w:t>
            </w:r>
          </w:p>
        </w:tc>
        <w:tc>
          <w:tcPr>
            <w:tcW w:w="18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6,022</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12,294</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17,472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w:t>
            </w:r>
          </w:p>
        </w:tc>
        <w:tc>
          <w:tcPr>
            <w:tcW w:w="18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Other Activity</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16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8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378</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191</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290</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8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-2639060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-2639060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-2639060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-2639060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-2639060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-1876425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-1876425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-1876425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-1876425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-1876425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-1087755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-1087755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-1087755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-1087755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-1087755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-316230</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-316230</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-316230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-316230</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-316230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SEACOR MARINE HOLDINGS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 30, 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Mar. 31, 2025</w:t>
            </w:r>
          </w:p>
        </w:tc>
      </w:tr>
      <w:tr>
        <w:trPr>
          <w:trHeight w:val="142"/>
        </w:trPr>
        <w:tc>
          <w:tcPr>
            <w:tcW w:w="4620" w:type="dxa"/>
            <w:vAlign w:val="bottom"/>
            <w:shd w:val="clear" w:color="auto" w:fill="CFF0FC"/>
          </w:tcPr>
          <w:p>
            <w:pPr>
              <w:ind w:left="226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38,721</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68,934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90,953</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34,381</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42,988</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Receivables:</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net of allowance for credit loss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63,946</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4,897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10,413</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2,827</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expenses and other</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4,716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12,195</w:t>
            </w:r>
          </w:p>
        </w:tc>
        <w:tc>
          <w:tcPr>
            <w:tcW w:w="120" w:type="dxa"/>
            <w:vAlign w:val="bottom"/>
          </w:tcPr>
          <w:p>
            <w:pPr>
              <w:spacing w:after="0"/>
              <w:rPr>
                <w:sz w:val="12"/>
                <w:szCs w:val="12"/>
                <w:color w:val="auto"/>
              </w:rPr>
            </w:pPr>
          </w:p>
        </w:tc>
      </w:tr>
      <w:tr>
        <w:trPr>
          <w:trHeight w:val="142"/>
        </w:trPr>
        <w:tc>
          <w:tcPr>
            <w:tcW w:w="462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5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171,658</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179,784</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194,304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133,043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140,884</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Property and Equipment: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Historical cost</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752,640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776,833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797,381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887,408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881,961</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depreciation</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(341,790)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(348,812)</w:t>
            </w: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(344,899)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(377,265)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(365,422)</w:t>
            </w:r>
          </w:p>
        </w:tc>
      </w:tr>
      <w:tr>
        <w:trPr>
          <w:trHeight w:val="142"/>
        </w:trPr>
        <w:tc>
          <w:tcPr>
            <w:tcW w:w="46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410,850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428,021</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452,482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510,143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516,539</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Construction in progress</w:t>
            </w: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52,429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47,002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40,394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31,772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27,248</w:t>
            </w:r>
          </w:p>
        </w:tc>
        <w:tc>
          <w:tcPr>
            <w:tcW w:w="120" w:type="dxa"/>
            <w:vAlign w:val="bottom"/>
          </w:tcPr>
          <w:p>
            <w:pPr>
              <w:spacing w:after="0"/>
              <w:rPr>
                <w:sz w:val="12"/>
                <w:szCs w:val="12"/>
                <w:color w:val="auto"/>
              </w:rPr>
            </w:pPr>
          </w:p>
        </w:tc>
      </w:tr>
      <w:tr>
        <w:trPr>
          <w:trHeight w:val="142"/>
        </w:trPr>
        <w:tc>
          <w:tcPr>
            <w:tcW w:w="462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property and equipment</w:t>
            </w:r>
          </w:p>
        </w:tc>
        <w:tc>
          <w:tcPr>
            <w:tcW w:w="5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463,279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475,023</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492,876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541,915</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543,787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Right-of-use asset - operating leases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3,293</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 - finance leases</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equity, and advances to 50% or less owned companies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4,507</w:t>
            </w:r>
          </w:p>
        </w:tc>
        <w:tc>
          <w:tcPr>
            <w:tcW w:w="120" w:type="dxa"/>
            <w:vAlign w:val="bottom"/>
          </w:tcPr>
          <w:p>
            <w:pPr>
              <w:spacing w:after="0"/>
              <w:rPr>
                <w:sz w:val="12"/>
                <w:szCs w:val="12"/>
                <w:color w:val="auto"/>
              </w:rPr>
            </w:pPr>
          </w:p>
        </w:tc>
      </w:tr>
      <w:tr>
        <w:trPr>
          <w:trHeight w:val="148"/>
        </w:trPr>
        <w:tc>
          <w:tcPr>
            <w:tcW w:w="4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640,747</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660,601</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692,498</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680,030</w:t>
            </w:r>
          </w:p>
        </w:tc>
        <w:tc>
          <w:tcPr>
            <w:tcW w:w="14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694,164</w:t>
            </w:r>
          </w:p>
        </w:tc>
        <w:tc>
          <w:tcPr>
            <w:tcW w:w="120" w:type="dxa"/>
            <w:vAlign w:val="bottom"/>
          </w:tcPr>
          <w:p>
            <w:pPr>
              <w:spacing w:after="0"/>
              <w:rPr>
                <w:sz w:val="12"/>
                <w:szCs w:val="12"/>
                <w:color w:val="auto"/>
              </w:rPr>
            </w:pPr>
          </w:p>
        </w:tc>
      </w:tr>
      <w:tr>
        <w:trPr>
          <w:trHeight w:val="20"/>
        </w:trPr>
        <w:tc>
          <w:tcPr>
            <w:tcW w:w="4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4620" w:type="dxa"/>
            <w:vAlign w:val="bottom"/>
            <w:shd w:val="clear" w:color="auto" w:fill="CFF0FC"/>
          </w:tcPr>
          <w:p>
            <w:pPr>
              <w:ind w:left="16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82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30,350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21,268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28,445</w:t>
            </w:r>
          </w:p>
        </w:tc>
        <w:tc>
          <w:tcPr>
            <w:tcW w:w="120" w:type="dxa"/>
            <w:vAlign w:val="bottom"/>
          </w:tcPr>
          <w:p>
            <w:pPr>
              <w:spacing w:after="0"/>
              <w:rPr>
                <w:sz w:val="12"/>
                <w:szCs w:val="12"/>
                <w:color w:val="auto"/>
              </w:rPr>
            </w:pPr>
          </w:p>
        </w:tc>
      </w:tr>
      <w:tr>
        <w:trPr>
          <w:trHeight w:val="149"/>
        </w:trPr>
        <w:tc>
          <w:tcPr>
            <w:tcW w:w="46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5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19,044</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24,702</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24,182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16,414</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72,674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70,729</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81,151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81,473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75,410</w:t>
            </w:r>
          </w:p>
        </w:tc>
        <w:tc>
          <w:tcPr>
            <w:tcW w:w="120" w:type="dxa"/>
            <w:vAlign w:val="bottom"/>
          </w:tcPr>
          <w:p>
            <w:pPr>
              <w:spacing w:after="0"/>
              <w:rPr>
                <w:sz w:val="12"/>
                <w:szCs w:val="12"/>
                <w:color w:val="auto"/>
              </w:rPr>
            </w:pPr>
          </w:p>
        </w:tc>
      </w:tr>
      <w:tr>
        <w:trPr>
          <w:trHeight w:val="142"/>
        </w:trPr>
        <w:tc>
          <w:tcPr>
            <w:tcW w:w="4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2,926</w:t>
            </w:r>
          </w:p>
        </w:tc>
        <w:tc>
          <w:tcPr>
            <w:tcW w:w="120" w:type="dxa"/>
            <w:vAlign w:val="bottom"/>
            <w:shd w:val="clear" w:color="auto" w:fill="CFF0FC"/>
          </w:tcPr>
          <w:p>
            <w:pPr>
              <w:spacing w:after="0"/>
              <w:rPr>
                <w:sz w:val="12"/>
                <w:szCs w:val="12"/>
                <w:color w:val="auto"/>
              </w:rPr>
            </w:pPr>
          </w:p>
        </w:tc>
      </w:tr>
      <w:tr>
        <w:trPr>
          <w:trHeight w:val="149"/>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finance lease liabilities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297,072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304,644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311,858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310,980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310,108</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20,312</w:t>
            </w:r>
          </w:p>
        </w:tc>
        <w:tc>
          <w:tcPr>
            <w:tcW w:w="120" w:type="dxa"/>
            <w:vAlign w:val="bottom"/>
          </w:tcPr>
          <w:p>
            <w:pPr>
              <w:spacing w:after="0"/>
              <w:rPr>
                <w:sz w:val="12"/>
                <w:szCs w:val="12"/>
                <w:color w:val="auto"/>
              </w:rPr>
            </w:pPr>
          </w:p>
        </w:tc>
      </w:tr>
      <w:tr>
        <w:trPr>
          <w:trHeight w:val="148"/>
        </w:trPr>
        <w:tc>
          <w:tcPr>
            <w:tcW w:w="4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gains and other liabilities</w:t>
            </w:r>
          </w:p>
        </w:tc>
        <w:tc>
          <w:tcPr>
            <w:tcW w:w="5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392,909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395,929</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414,835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412,234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410,129</w:t>
            </w:r>
          </w:p>
        </w:tc>
        <w:tc>
          <w:tcPr>
            <w:tcW w:w="120" w:type="dxa"/>
            <w:vAlign w:val="bottom"/>
          </w:tcPr>
          <w:p>
            <w:pPr>
              <w:spacing w:after="0"/>
              <w:rPr>
                <w:sz w:val="12"/>
                <w:szCs w:val="12"/>
                <w:color w:val="auto"/>
              </w:rPr>
            </w:pPr>
          </w:p>
        </w:tc>
      </w:tr>
      <w:tr>
        <w:trPr>
          <w:trHeight w:val="142"/>
        </w:trPr>
        <w:tc>
          <w:tcPr>
            <w:tcW w:w="4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SEACOR Marine Holdings Inc. stockholders’ equity:</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473,241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471,862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470,228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468,669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480,904</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(224,249)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(208,444)</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(193,822)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(202,816)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(196,089)</w:t>
            </w:r>
          </w:p>
        </w:tc>
      </w:tr>
      <w:tr>
        <w:trPr>
          <w:trHeight w:val="149"/>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Shares held in treasury</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(9,691)</w:t>
            </w: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(9,628)</w:t>
            </w:r>
          </w:p>
        </w:tc>
      </w:tr>
      <w:tr>
        <w:trPr>
          <w:trHeight w:val="148"/>
        </w:trPr>
        <w:tc>
          <w:tcPr>
            <w:tcW w:w="46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net of tax</w:t>
            </w:r>
          </w:p>
        </w:tc>
        <w:tc>
          <w:tcPr>
            <w:tcW w:w="5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9,669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10,344</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10,980</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247,517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264,351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277,342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267,475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283,714</w:t>
            </w:r>
          </w:p>
        </w:tc>
        <w:tc>
          <w:tcPr>
            <w:tcW w:w="120" w:type="dxa"/>
            <w:vAlign w:val="bottom"/>
          </w:tcPr>
          <w:p>
            <w:pPr>
              <w:spacing w:after="0"/>
              <w:rPr>
                <w:sz w:val="12"/>
                <w:szCs w:val="12"/>
                <w:color w:val="auto"/>
              </w:rPr>
            </w:pPr>
          </w:p>
        </w:tc>
      </w:tr>
      <w:tr>
        <w:trPr>
          <w:trHeight w:val="148"/>
        </w:trPr>
        <w:tc>
          <w:tcPr>
            <w:tcW w:w="4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in subsidiaries</w:t>
            </w:r>
          </w:p>
        </w:tc>
        <w:tc>
          <w:tcPr>
            <w:tcW w:w="5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247,838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264,672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277,663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267,796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284,035</w:t>
            </w:r>
          </w:p>
        </w:tc>
        <w:tc>
          <w:tcPr>
            <w:tcW w:w="120" w:type="dxa"/>
            <w:vAlign w:val="bottom"/>
          </w:tcPr>
          <w:p>
            <w:pPr>
              <w:spacing w:after="0"/>
              <w:rPr>
                <w:sz w:val="12"/>
                <w:szCs w:val="12"/>
                <w:color w:val="auto"/>
              </w:rPr>
            </w:pPr>
          </w:p>
        </w:tc>
      </w:tr>
      <w:tr>
        <w:trPr>
          <w:trHeight w:val="162"/>
        </w:trPr>
        <w:tc>
          <w:tcPr>
            <w:tcW w:w="46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820" w:type="dxa"/>
            <w:vAlign w:val="bottom"/>
            <w:gridSpan w:val="2"/>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640,747</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660,601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692,498</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680,030</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694,164</w:t>
            </w:r>
          </w:p>
        </w:tc>
        <w:tc>
          <w:tcPr>
            <w:tcW w:w="120" w:type="dxa"/>
            <w:vAlign w:val="bottom"/>
            <w:shd w:val="clear" w:color="auto" w:fill="CFF0FC"/>
          </w:tcPr>
          <w:p>
            <w:pPr>
              <w:spacing w:after="0"/>
              <w:rPr>
                <w:sz w:val="14"/>
                <w:szCs w:val="14"/>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-3548380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-3548380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-3548380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-3548380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-3548380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-2957195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-2957195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-2957195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-2957195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-2957195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-2571115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-2571115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-2571115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-2571115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-1782445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-1782445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-1782445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-1782445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-1199515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-1199515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-1199515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-1199515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-427990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-427990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-427990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-427990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-231140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-231140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-231140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-231140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-231140</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SEACOR MARINE HOLDINGS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Mar. 31, 2026</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Jun. 30, 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Mar. 31, 2025</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(15,805)</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(14,622)</w:t>
            </w: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8,994</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(6,727)</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(15,489)</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financing costs amortization</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Debt discount amortization</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Gains from equipment sales, retirements or impairments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(7,448)</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(8,210)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(30,230)</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(19,163)</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(5,809)</w:t>
            </w:r>
          </w:p>
        </w:tc>
        <w:tc>
          <w:tcPr>
            <w:tcW w:w="0" w:type="dxa"/>
            <w:vAlign w:val="bottom"/>
          </w:tcPr>
          <w:p>
            <w:pPr>
              <w:spacing w:after="0"/>
              <w:rPr>
                <w:sz w:val="1"/>
                <w:szCs w:val="1"/>
                <w:color w:val="auto"/>
              </w:rPr>
            </w:pPr>
          </w:p>
        </w:tc>
      </w:tr>
      <w:tr>
        <w:trPr>
          <w:trHeight w:val="149"/>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Derivative losses (gains)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on finance lease</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Settlements on derivative transactions, net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Currency (gains) losses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(1,725)</w:t>
            </w:r>
          </w:p>
        </w:tc>
        <w:tc>
          <w:tcPr>
            <w:tcW w:w="0" w:type="dxa"/>
            <w:vAlign w:val="bottom"/>
          </w:tcPr>
          <w:p>
            <w:pPr>
              <w:spacing w:after="0"/>
              <w:rPr>
                <w:sz w:val="1"/>
                <w:szCs w:val="1"/>
                <w:color w:val="auto"/>
              </w:rPr>
            </w:pPr>
          </w:p>
        </w:tc>
      </w:tr>
      <w:tr>
        <w:trPr>
          <w:trHeight w:val="149"/>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earnings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received from equity investees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(5,735)</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(6,700)</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(1,306)</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(10,246)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(6,204)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(15,133)</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(12,199)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(10,659)</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(2,077)</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(11,466)</w:t>
            </w: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(6,088)</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(8,427)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(9,348)</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(10,213)</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(20,795)</w:t>
            </w:r>
          </w:p>
        </w:tc>
        <w:tc>
          <w:tcPr>
            <w:tcW w:w="0" w:type="dxa"/>
            <w:vAlign w:val="bottom"/>
          </w:tcPr>
          <w:p>
            <w:pPr>
              <w:spacing w:after="0"/>
              <w:rPr>
                <w:sz w:val="1"/>
                <w:szCs w:val="1"/>
                <w:color w:val="auto"/>
              </w:rPr>
            </w:pPr>
          </w:p>
        </w:tc>
      </w:tr>
      <w:tr>
        <w:trPr>
          <w:trHeight w:val="149"/>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property and equipment</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12,778</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76,068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31,592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6,690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4,660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66,720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21,379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(12,323)</w:t>
            </w: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issuance of long-term debt, net of debt discount and issuance costs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finance leases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for repurchase of common stock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for repurchase of warrants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(6,668)</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Tax withholdings on restricted stock vesting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(1,737)</w:t>
            </w:r>
          </w:p>
        </w:tc>
        <w:tc>
          <w:tcPr>
            <w:tcW w:w="8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(9,240)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(7,556)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(13,175)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(6,923)</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Effects of Exchange Rate Changes on Cash, Restricted Cash and Cash Equivalents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Restricted Cash and Cash Equivalents</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(17,684)</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(15,092)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56,653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6,127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(30,712)</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93,116</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51,555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45,428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75,432</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93,116</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108,208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51,555</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45,428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-1593850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-1593850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-1593850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-1199515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-1199515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-1199515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-1199515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-543560</wp:posOffset>
            </wp:positionV>
            <wp:extent cx="10287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-543560</wp:posOffset>
            </wp:positionV>
            <wp:extent cx="10287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-543560</wp:posOffset>
            </wp:positionV>
            <wp:extent cx="9398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-543560</wp:posOffset>
            </wp:positionV>
            <wp:extent cx="9398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-543560</wp:posOffset>
            </wp:positionV>
            <wp:extent cx="9398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FLEET COUNTS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5"/>
                <w:szCs w:val="15"/>
                <w:color w:val="auto"/>
              </w:rPr>
            </w:pPr>
          </w:p>
        </w:tc>
        <w:tc>
          <w:tcPr>
            <w:tcW w:w="20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1700" w:type="dxa"/>
            <w:vAlign w:val="bottom"/>
            <w:tcBorders>
              <w:bottom w:val="single" w:sz="8" w:color="auto"/>
            </w:tcBorders>
            <w:shd w:val="clear" w:color="auto" w:fill="CFF0FC"/>
          </w:tcPr>
          <w:p>
            <w:pPr>
              <w:spacing w:after="0"/>
              <w:rPr>
                <w:sz w:val="12"/>
                <w:szCs w:val="12"/>
                <w:color w:val="auto"/>
              </w:rPr>
            </w:pPr>
          </w:p>
        </w:tc>
        <w:tc>
          <w:tcPr>
            <w:tcW w:w="5000" w:type="dxa"/>
            <w:vAlign w:val="bottom"/>
            <w:tcBorders>
              <w:bottom w:val="single" w:sz="8" w:color="auto"/>
            </w:tcBorders>
            <w:shd w:val="clear" w:color="auto" w:fill="CFF0FC"/>
          </w:tcPr>
          <w:p>
            <w:pPr>
              <w:ind w:left="11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2160" w:type="dxa"/>
            <w:vAlign w:val="bottom"/>
            <w:tcBorders>
              <w:bottom w:val="single" w:sz="8" w:color="CFF0FC"/>
            </w:tcBorders>
            <w:gridSpan w:val="2"/>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1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FSV</w:t>
            </w:r>
          </w:p>
        </w:tc>
        <w:tc>
          <w:tcPr>
            <w:tcW w:w="71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r>
      <w:tr>
        <w:trPr>
          <w:trHeight w:val="148"/>
        </w:trPr>
        <w:tc>
          <w:tcPr>
            <w:tcW w:w="1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PSV</w:t>
            </w:r>
          </w:p>
        </w:tc>
        <w:tc>
          <w:tcPr>
            <w:tcW w:w="716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2"/>
                <w:szCs w:val="12"/>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Liftboats</w:t>
            </w:r>
          </w:p>
        </w:tc>
        <w:tc>
          <w:tcPr>
            <w:tcW w:w="71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5140" w:type="dxa"/>
            <w:vAlign w:val="bottom"/>
            <w:gridSpan w:val="2"/>
          </w:tcPr>
          <w:p>
            <w:pPr>
              <w:spacing w:after="0"/>
              <w:rPr>
                <w:sz w:val="12"/>
                <w:szCs w:val="12"/>
                <w:color w:val="auto"/>
              </w:rPr>
            </w:pPr>
          </w:p>
        </w:tc>
        <w:tc>
          <w:tcPr>
            <w:tcW w:w="2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2"/>
                <w:szCs w:val="12"/>
                <w:color w:val="auto"/>
              </w:rPr>
            </w:pPr>
          </w:p>
        </w:tc>
        <w:tc>
          <w:tcPr>
            <w:tcW w:w="2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-401955</wp:posOffset>
            </wp:positionV>
            <wp:extent cx="939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164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tcPr>
          <w:p>
            <w:pPr>
              <w:ind w:left="1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1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FSV</w:t>
            </w:r>
          </w:p>
        </w:tc>
        <w:tc>
          <w:tcPr>
            <w:tcW w:w="722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FF0FC"/>
          </w:tcPr>
          <w:p>
            <w:pPr>
              <w:spacing w:after="0"/>
              <w:rPr>
                <w:sz w:val="12"/>
                <w:szCs w:val="12"/>
                <w:color w:val="auto"/>
              </w:rPr>
            </w:pPr>
          </w:p>
        </w:tc>
      </w:tr>
      <w:tr>
        <w:trPr>
          <w:trHeight w:val="149"/>
        </w:trPr>
        <w:tc>
          <w:tcPr>
            <w:tcW w:w="1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PSV</w:t>
            </w:r>
          </w:p>
        </w:tc>
        <w:tc>
          <w:tcPr>
            <w:tcW w:w="72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2"/>
                <w:szCs w:val="12"/>
                <w:color w:val="auto"/>
              </w:rPr>
            </w:pPr>
          </w:p>
        </w:tc>
      </w:tr>
      <w:tr>
        <w:trPr>
          <w:trHeight w:val="148"/>
        </w:trPr>
        <w:tc>
          <w:tcPr>
            <w:tcW w:w="16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Liftboats</w:t>
            </w:r>
          </w:p>
        </w:tc>
        <w:tc>
          <w:tcPr>
            <w:tcW w:w="5200" w:type="dxa"/>
            <w:vAlign w:val="bottom"/>
            <w:tcBorders>
              <w:bottom w:val="single" w:sz="8" w:color="CFF0FC"/>
            </w:tcBorders>
            <w:gridSpan w:val="2"/>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72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r>
      <w:tr>
        <w:trPr>
          <w:trHeight w:val="20"/>
        </w:trPr>
        <w:tc>
          <w:tcPr>
            <w:tcW w:w="16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-128270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2026-04-29T17:54:51Z</dcterms:created>
  <dcterms:modified xsi:type="dcterms:W3CDTF">2026-04-29T17:54:51Z</dcterms:modified>
</cp:coreProperties>
</file>