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smhi-20260602.htm"/>
      <w:bookmarkStart w:id="1" w:name="kssmhi20260602"/>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June 2, 2026</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283"/>
              <w:jc w:val="left"/>
              <w:rPr>
                <w:sz w:val="4"/>
                <w:szCs w:val="4"/>
              </w:rPr>
            </w:pPr>
            <w:r>
              <w:rPr>
                <w:sz w:val="4"/>
                <w:szCs w:val="4"/>
              </w:rPr>
            </w:r>
          </w:p>
        </w:tc>
      </w:tr>
      <w:tr>
        <w:trPr/>
        <w:tc>
          <w:tcPr>
            <w:tcW w:w="4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SEACOR Marine Holdings Inc.</w:t>
            </w:r>
          </w:p>
        </w:tc>
      </w:tr>
      <w:tr>
        <w:trPr/>
        <w:tc>
          <w:tcPr>
            <w:tcW w:w="4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tbl>
      <w:tblPr>
        <w:tblW w:w="5133" w:type="dxa"/>
        <w:jc w:val="left"/>
        <w:tblInd w:w="0" w:type="dxa"/>
        <w:tblLayout w:type="fixed"/>
        <w:tblCellMar>
          <w:top w:w="28" w:type="dxa"/>
          <w:left w:w="28" w:type="dxa"/>
          <w:bottom w:w="28" w:type="dxa"/>
          <w:right w:w="28" w:type="dxa"/>
        </w:tblCellMar>
      </w:tblPr>
      <w:tblGrid>
        <w:gridCol w:w="2296"/>
        <w:gridCol w:w="1186"/>
        <w:gridCol w:w="1651"/>
      </w:tblGrid>
      <w:tr>
        <w:trPr/>
        <w:tc>
          <w:tcPr>
            <w:tcW w:w="22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001-37966</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47-2564547</w:t>
            </w:r>
          </w:p>
        </w:tc>
      </w:tr>
      <w:tr>
        <w:trPr/>
        <w:tc>
          <w:tcPr>
            <w:tcW w:w="22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1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(Commission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tbl>
      <w:tblPr>
        <w:tblW w:w="5702" w:type="dxa"/>
        <w:jc w:val="left"/>
        <w:tblInd w:w="0" w:type="dxa"/>
        <w:tblLayout w:type="fixed"/>
        <w:tblCellMar>
          <w:top w:w="28" w:type="dxa"/>
          <w:left w:w="28" w:type="dxa"/>
          <w:bottom w:w="28" w:type="dxa"/>
          <w:right w:w="28" w:type="dxa"/>
        </w:tblCellMar>
      </w:tblPr>
      <w:tblGrid>
        <w:gridCol w:w="4276"/>
        <w:gridCol w:w="1426"/>
      </w:tblGrid>
      <w:tr>
        <w:trPr/>
        <w:tc>
          <w:tcPr>
            <w:tcW w:w="427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4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12121 Wickchester Lane, Suite 500, Houston, TX</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77079</w:t>
            </w:r>
          </w:p>
        </w:tc>
      </w:tr>
      <w:tr>
        <w:trPr/>
        <w:tc>
          <w:tcPr>
            <w:tcW w:w="4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r>
        <w:trPr/>
        <w:tc>
          <w:tcPr>
            <w:tcW w:w="4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Registrant's telephone number, including area code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(346)</w:t>
            </w:r>
            <w:r>
              <w:rPr>
                <w:rFonts w:ascii="Times New Roman" w:hAnsi="Times New Roman"/>
                <w:color w:val="000000"/>
                <w:sz w:val="20"/>
              </w:rPr>
              <w:t xml:space="preserve"> </w:t>
            </w:r>
            <w:r>
              <w:rPr>
                <w:rFonts w:ascii="Times New Roman" w:hAnsi="Times New Roman"/>
                <w:b/>
                <w:color w:val="000000"/>
                <w:sz w:val="20"/>
              </w:rPr>
              <w:t>980-1700</w:t>
            </w:r>
          </w:p>
        </w:tc>
      </w:tr>
      <w:tr>
        <w:trPr/>
        <w:tc>
          <w:tcPr>
            <w:tcW w:w="4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both"/>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tbl>
      <w:tblPr>
        <w:tblW w:w="9621" w:type="dxa"/>
        <w:jc w:val="left"/>
        <w:tblInd w:w="0" w:type="dxa"/>
        <w:tblLayout w:type="fixed"/>
        <w:tblCellMar>
          <w:top w:w="28" w:type="dxa"/>
          <w:left w:w="28" w:type="dxa"/>
          <w:bottom w:w="28" w:type="dxa"/>
          <w:right w:w="28" w:type="dxa"/>
        </w:tblCellMar>
      </w:tblPr>
      <w:tblGrid>
        <w:gridCol w:w="124"/>
        <w:gridCol w:w="31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tbl>
      <w:tblPr>
        <w:tblW w:w="8988" w:type="dxa"/>
        <w:jc w:val="left"/>
        <w:tblInd w:w="0" w:type="dxa"/>
        <w:tblLayout w:type="fixed"/>
        <w:tblCellMar>
          <w:top w:w="28" w:type="dxa"/>
          <w:left w:w="28" w:type="dxa"/>
          <w:bottom w:w="28" w:type="dxa"/>
          <w:right w:w="28" w:type="dxa"/>
        </w:tblCellMar>
      </w:tblPr>
      <w:tblGrid>
        <w:gridCol w:w="3466"/>
        <w:gridCol w:w="169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Title of each class</w:t>
            </w:r>
          </w:p>
        </w:tc>
        <w:tc>
          <w:tcPr>
            <w:tcW w:w="169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Trading Symbol(s)</w:t>
            </w:r>
          </w:p>
        </w:tc>
        <w:tc>
          <w:tcPr>
            <w:tcW w:w="382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Common stock, par value $0.01 per share</w:t>
            </w:r>
          </w:p>
        </w:tc>
        <w:tc>
          <w:tcPr>
            <w:tcW w:w="16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SMHI</w:t>
            </w:r>
          </w:p>
        </w:tc>
        <w:tc>
          <w:tcPr>
            <w:tcW w:w="382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New York Stock Exchange (“NYSE”)</w:t>
            </w:r>
          </w:p>
          <w:p>
            <w:pPr>
              <w:pStyle w:val="TableContents"/>
              <w:bidi w:val="0"/>
              <w:spacing w:before="120" w:after="283"/>
              <w:jc w:val="both"/>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2026 Annual Meeting of Stockholders of SEACOR Marine Holdings Inc. (the “Company”), held on June 2, 2026, the Company’s stockholders voted on proposals to: (i) elect directors to the board of directors of the Company (the “Board”), (ii) approve, on an advisory basis, the Company’s named executive officer compensation, and (iii) ratify the appointment of Grant Thornton LLP as the Company’s independent registered public accounting firm for the fiscal year ending December 31,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nominees for election to the Board were elected for a term that will continue until the next annual meeting of stockholders or until the director’s successor has been duly elected and qualified (or the director’s earlier resignation, death or removal). The Company’s stockholders also (i) approved, on an advisory basis, the Company’s named executive officer compensation, and (ii) ratified the appointment of Grant Thornton LLP as the Company’s independent registered public accounting firm for the fiscal year ending December 31,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votes cast for, withheld or against and the number of abstentions and broker non-votes with respect to each proposal, as applicable, is set forth below. The Company’s independent inspector of election reported the final vote of the stockholders as follows:</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Proposal No. 1 – Election of Directors</w:t>
      </w:r>
    </w:p>
    <w:tbl>
      <w:tblPr>
        <w:tblW w:w="6126" w:type="dxa"/>
        <w:jc w:val="left"/>
        <w:tblInd w:w="0" w:type="dxa"/>
        <w:tblLayout w:type="fixed"/>
        <w:tblCellMar>
          <w:top w:w="28" w:type="dxa"/>
          <w:left w:w="28" w:type="dxa"/>
          <w:bottom w:w="28" w:type="dxa"/>
          <w:right w:w="28" w:type="dxa"/>
        </w:tblCellMar>
      </w:tblPr>
      <w:tblGrid>
        <w:gridCol w:w="1546"/>
        <w:gridCol w:w="134"/>
        <w:gridCol w:w="146"/>
        <w:gridCol w:w="1141"/>
        <w:gridCol w:w="146"/>
        <w:gridCol w:w="1306"/>
        <w:gridCol w:w="146"/>
        <w:gridCol w:w="1561"/>
      </w:tblGrid>
      <w:tr>
        <w:trPr/>
        <w:tc>
          <w:tcPr>
            <w:tcW w:w="15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5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Director Name</w:t>
            </w:r>
          </w:p>
        </w:tc>
        <w:tc>
          <w:tcPr>
            <w:tcW w:w="13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Withheld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 Non-Votes</w:t>
            </w:r>
          </w:p>
        </w:tc>
      </w:tr>
      <w:tr>
        <w:trPr/>
        <w:tc>
          <w:tcPr>
            <w:tcW w:w="1680"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Andrew R. Morse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13,249,782.37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432,955.00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7,672,693.23</w:t>
            </w:r>
          </w:p>
        </w:tc>
      </w:tr>
      <w:tr>
        <w:trPr/>
        <w:tc>
          <w:tcPr>
            <w:tcW w:w="16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Gellert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13,656,993.37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25,744.00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7,672,693.23</w:t>
            </w:r>
          </w:p>
        </w:tc>
      </w:tr>
      <w:tr>
        <w:trPr/>
        <w:tc>
          <w:tcPr>
            <w:tcW w:w="1680"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Alfredo Miguel Bejos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13,241,975.37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440,762.00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7,672,693.23</w:t>
            </w:r>
          </w:p>
        </w:tc>
      </w:tr>
      <w:tr>
        <w:trPr/>
        <w:tc>
          <w:tcPr>
            <w:tcW w:w="16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Julie Persily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13,232,446.37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450,291.00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7,672,693.23</w:t>
            </w:r>
          </w:p>
        </w:tc>
      </w:tr>
      <w:tr>
        <w:trPr/>
        <w:tc>
          <w:tcPr>
            <w:tcW w:w="1680"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 Christopher Regan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13,216,691.37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466,046.00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7,672,693.23</w:t>
            </w:r>
          </w:p>
        </w:tc>
      </w:tr>
      <w:tr>
        <w:trPr/>
        <w:tc>
          <w:tcPr>
            <w:tcW w:w="16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Lisa P. Young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13,235,161.37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447,576.00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7,672,693.23</w:t>
            </w:r>
          </w:p>
        </w:tc>
      </w:tr>
    </w:tbl>
    <w:p>
      <w:pPr>
        <w:pStyle w:val="TextBody"/>
        <w:bidi w:val="0"/>
        <w:spacing w:before="200" w:after="200"/>
        <w:jc w:val="both"/>
        <w:rPr>
          <w:rFonts w:ascii="Times New Roman" w:hAnsi="Times New Roman"/>
          <w:sz w:val="20"/>
        </w:rPr>
      </w:pPr>
      <w:r>
        <w:rPr>
          <w:rFonts w:ascii="Times New Roman" w:hAnsi="Times New Roman"/>
          <w:b/>
          <w:color w:val="000000"/>
          <w:sz w:val="20"/>
        </w:rPr>
        <w:t>Proposal No. 2 – Advisory Vote to Approve the Company</w:t>
      </w:r>
      <w:r>
        <w:rPr>
          <w:rFonts w:ascii="Times New Roman" w:hAnsi="Times New Roman"/>
          <w:color w:val="000000"/>
          <w:sz w:val="20"/>
        </w:rPr>
        <w:t>’</w:t>
      </w:r>
      <w:r>
        <w:rPr>
          <w:rFonts w:ascii="Times New Roman" w:hAnsi="Times New Roman"/>
          <w:b/>
          <w:color w:val="000000"/>
          <w:sz w:val="20"/>
        </w:rPr>
        <w:t>s Named Executive Officer Compensation</w:t>
      </w:r>
    </w:p>
    <w:tbl>
      <w:tblPr>
        <w:tblW w:w="4946" w:type="dxa"/>
        <w:jc w:val="left"/>
        <w:tblInd w:w="0" w:type="dxa"/>
        <w:tblLayout w:type="fixed"/>
        <w:tblCellMar>
          <w:top w:w="28" w:type="dxa"/>
          <w:left w:w="28" w:type="dxa"/>
          <w:bottom w:w="28" w:type="dxa"/>
          <w:right w:w="28" w:type="dxa"/>
        </w:tblCellMar>
      </w:tblPr>
      <w:tblGrid>
        <w:gridCol w:w="1156"/>
        <w:gridCol w:w="109"/>
        <w:gridCol w:w="1059"/>
        <w:gridCol w:w="126"/>
        <w:gridCol w:w="826"/>
        <w:gridCol w:w="109"/>
        <w:gridCol w:w="1561"/>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2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For</w:t>
            </w:r>
          </w:p>
        </w:tc>
        <w:tc>
          <w:tcPr>
            <w:tcW w:w="118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Against</w:t>
            </w:r>
          </w:p>
        </w:tc>
        <w:tc>
          <w:tcPr>
            <w:tcW w:w="93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Abstain</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 Non-Votes</w:t>
            </w:r>
          </w:p>
        </w:tc>
      </w:tr>
      <w:tr>
        <w:trPr/>
        <w:tc>
          <w:tcPr>
            <w:tcW w:w="11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13,314,887.69</w:t>
            </w:r>
          </w:p>
        </w:tc>
        <w:tc>
          <w:tcPr>
            <w:tcW w:w="109"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339,632.85</w:t>
            </w:r>
          </w:p>
        </w:tc>
        <w:tc>
          <w:tcPr>
            <w:tcW w:w="12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28,216.82</w:t>
            </w:r>
          </w:p>
        </w:tc>
        <w:tc>
          <w:tcPr>
            <w:tcW w:w="109"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7,672,693.23</w:t>
            </w:r>
          </w:p>
        </w:tc>
      </w:tr>
    </w:tbl>
    <w:p>
      <w:pPr>
        <w:pStyle w:val="TextBody"/>
        <w:bidi w:val="0"/>
        <w:spacing w:before="200" w:after="200"/>
        <w:jc w:val="both"/>
        <w:rPr>
          <w:rFonts w:ascii="Times New Roman" w:hAnsi="Times New Roman"/>
          <w:sz w:val="20"/>
        </w:rPr>
      </w:pPr>
      <w:r>
        <w:rPr>
          <w:rFonts w:ascii="Times New Roman" w:hAnsi="Times New Roman"/>
          <w:b/>
          <w:color w:val="000000"/>
          <w:sz w:val="20"/>
        </w:rPr>
        <w:t>Proposal No. 3 – Ratification of Appointment of Grant Thornton LLP as the Company</w:t>
      </w:r>
      <w:r>
        <w:rPr>
          <w:rFonts w:ascii="Times New Roman" w:hAnsi="Times New Roman"/>
          <w:color w:val="000000"/>
          <w:sz w:val="20"/>
        </w:rPr>
        <w:t>’</w:t>
      </w:r>
      <w:r>
        <w:rPr>
          <w:rFonts w:ascii="Times New Roman" w:hAnsi="Times New Roman"/>
          <w:b/>
          <w:color w:val="000000"/>
          <w:sz w:val="20"/>
        </w:rPr>
        <w:t>s Independent Registered Public Accounting Firm for the Fiscal Year Ending December 31, 2026</w:t>
      </w:r>
    </w:p>
    <w:tbl>
      <w:tblPr>
        <w:tblW w:w="4732" w:type="dxa"/>
        <w:jc w:val="left"/>
        <w:tblInd w:w="0" w:type="dxa"/>
        <w:tblLayout w:type="fixed"/>
        <w:tblCellMar>
          <w:top w:w="28" w:type="dxa"/>
          <w:left w:w="28" w:type="dxa"/>
          <w:bottom w:w="28" w:type="dxa"/>
          <w:right w:w="28" w:type="dxa"/>
        </w:tblCellMar>
      </w:tblPr>
      <w:tblGrid>
        <w:gridCol w:w="1156"/>
        <w:gridCol w:w="109"/>
        <w:gridCol w:w="1047"/>
        <w:gridCol w:w="138"/>
        <w:gridCol w:w="610"/>
        <w:gridCol w:w="111"/>
        <w:gridCol w:w="1561"/>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2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For</w:t>
            </w:r>
          </w:p>
        </w:tc>
        <w:tc>
          <w:tcPr>
            <w:tcW w:w="118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Against</w:t>
            </w:r>
          </w:p>
        </w:tc>
        <w:tc>
          <w:tcPr>
            <w:tcW w:w="72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Abstain</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 Non-Votes</w:t>
            </w:r>
          </w:p>
        </w:tc>
      </w:tr>
      <w:tr>
        <w:trPr/>
        <w:tc>
          <w:tcPr>
            <w:tcW w:w="11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21,260,381.59</w:t>
            </w:r>
          </w:p>
        </w:tc>
        <w:tc>
          <w:tcPr>
            <w:tcW w:w="109"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94,949.00</w:t>
            </w:r>
          </w:p>
        </w:tc>
        <w:tc>
          <w:tcPr>
            <w:tcW w:w="138"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100.00</w:t>
            </w:r>
          </w:p>
        </w:tc>
        <w:tc>
          <w:tcPr>
            <w:tcW w:w="111"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528" w:type="dxa"/>
        <w:jc w:val="left"/>
        <w:tblInd w:w="0" w:type="dxa"/>
        <w:tblLayout w:type="fixed"/>
        <w:tblCellMar>
          <w:top w:w="28" w:type="dxa"/>
          <w:left w:w="28" w:type="dxa"/>
          <w:bottom w:w="28" w:type="dxa"/>
          <w:right w:w="28" w:type="dxa"/>
        </w:tblCellMar>
      </w:tblPr>
      <w:tblGrid>
        <w:gridCol w:w="1156"/>
        <w:gridCol w:w="406"/>
        <w:gridCol w:w="496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SEACOR Marine Holdings Inc.</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96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Andrew H. Everett II</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Andrew H. Everett II</w:t>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Senior Vice President, 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3926</Characters>
  <CharactersWithSpaces>4546</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