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Persily Julie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SEACOR MARINE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12121 WICKCHESTER LANE,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SEACOR Marine Holdings Inc.</w:t>
              </w:r>
            </w:hyperlink>
            <w:r>
              <w:rPr/>
              <w:t xml:space="preserve"> [ </w:t>
            </w:r>
            <w:r>
              <w:rPr>
                <w:rFonts w:ascii="Times;serif" w:hAnsi="Times;serif"/>
                <w:color w:val="0000FF"/>
                <w:sz w:val="24"/>
                <w:shd w:fill="FFFFFF" w:val="clear"/>
              </w:rPr>
              <w:t>SMHI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15,222</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100,698</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award reported in this Form 4 will lapse on the earlier of (i) the date of the 2027 annual meeting of stockholders of the Issuer, provided that such date is not less than 50 weeks from the grant date of such award, and (ii) June 2,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H. Everett 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3007" TargetMode="External"/><Relationship Id="rId5" Type="http://schemas.openxmlformats.org/officeDocument/2006/relationships/hyperlink" Target="http://www.sec.gov/cgi-bin/browse-edgar?action=getcompany&amp;CIK=0001690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3287</Characters>
  <CharactersWithSpaces>3844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