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pPr>
      <w:bookmarkStart w:id="0" w:name="smhi-20260630.htm"/>
      <w:bookmarkStart w:id="1" w:name="kssmhi20260630"/>
      <w:bookmarkEnd w:id="0"/>
      <w:bookmarkEnd w:id="1"/>
      <w:r>
        <w:rPr/>
        <w:t> </w:t>
      </w:r>
    </w:p>
    <w:p>
      <w:pPr>
        <w:pStyle w:val="TextBody"/>
        <w:bidi w:val="0"/>
        <w:jc w:val="center"/>
        <w:rPr/>
      </w:pPr>
      <w:r>
        <w:rPr/>
        <w:t> </w:t>
      </w:r>
    </w:p>
    <w:p>
      <w:pPr>
        <w:pStyle w:val="TextBody"/>
        <w:bidi w:val="0"/>
        <w:jc w:val="center"/>
        <w:rPr/>
      </w:pPr>
      <w:r>
        <w:rPr/>
        <w:t> </w:t>
      </w:r>
    </w:p>
    <w:p>
      <w:pPr>
        <w:pStyle w:val="TextBody"/>
        <w:pBdr>
          <w:top w:val="double" w:sz="6" w:space="1" w:color="000000"/>
        </w:pBdr>
        <w:bidi w:val="0"/>
        <w:jc w:val="left"/>
        <w:rPr/>
      </w:pPr>
      <w:r>
        <w:rPr/>
        <w:t> </w:t>
      </w:r>
    </w:p>
    <w:p>
      <w:pPr>
        <w:pStyle w:val="TextBody"/>
        <w:bidi w:val="0"/>
        <w:jc w:val="center"/>
        <w:rPr>
          <w:rFonts w:ascii="Times New Roman" w:hAnsi="Times New Roman"/>
          <w:b/>
          <w:color w:val="000000"/>
          <w:sz w:val="32"/>
        </w:rPr>
      </w:pPr>
      <w:r>
        <w:rPr>
          <w:rFonts w:ascii="Times New Roman" w:hAnsi="Times New Roman"/>
          <w:b/>
          <w:color w:val="000000"/>
          <w:sz w:val="32"/>
        </w:rPr>
        <w:t>UNITED STATES</w:t>
      </w:r>
    </w:p>
    <w:p>
      <w:pPr>
        <w:pStyle w:val="TextBody"/>
        <w:bidi w:val="0"/>
        <w:jc w:val="center"/>
        <w:rPr>
          <w:rFonts w:ascii="Times New Roman" w:hAnsi="Times New Roman"/>
          <w:b/>
          <w:color w:val="000000"/>
          <w:sz w:val="32"/>
        </w:rPr>
      </w:pPr>
      <w:r>
        <w:rPr>
          <w:rFonts w:ascii="Times New Roman" w:hAnsi="Times New Roman"/>
          <w:b/>
          <w:color w:val="000000"/>
          <w:sz w:val="32"/>
        </w:rPr>
        <w:t>SECURITIES AND EXCHANGE COMMISSION</w:t>
      </w:r>
    </w:p>
    <w:p>
      <w:pPr>
        <w:pStyle w:val="TextBody"/>
        <w:bidi w:val="0"/>
        <w:jc w:val="center"/>
        <w:rPr>
          <w:rFonts w:ascii="Times New Roman" w:hAnsi="Times New Roman"/>
          <w:b/>
          <w:color w:val="000000"/>
          <w:sz w:val="22"/>
        </w:rPr>
      </w:pPr>
      <w:r>
        <w:rPr>
          <w:rFonts w:ascii="Times New Roman" w:hAnsi="Times New Roman"/>
          <w:b/>
          <w:color w:val="000000"/>
          <w:sz w:val="22"/>
        </w:rPr>
        <w:t>WASHINGTON, DC 20549</w:t>
      </w:r>
    </w:p>
    <w:p>
      <w:pPr>
        <w:pStyle w:val="TextBody"/>
        <w:pBdr>
          <w:bottom w:val="single" w:sz="4" w:space="1" w:color="000000"/>
        </w:pBdr>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32"/>
        </w:rPr>
      </w:pPr>
      <w:r>
        <w:rPr>
          <w:rFonts w:ascii="Times New Roman" w:hAnsi="Times New Roman"/>
          <w:b/>
          <w:color w:val="000000"/>
          <w:sz w:val="32"/>
        </w:rPr>
        <w:t>FORM 10-Q</w:t>
      </w:r>
    </w:p>
    <w:p>
      <w:pPr>
        <w:pStyle w:val="TextBody"/>
        <w:pBdr>
          <w:bottom w:val="single" w:sz="4" w:space="1" w:color="000000"/>
        </w:pBdr>
        <w:bidi w:val="0"/>
        <w:jc w:val="center"/>
        <w:rPr/>
      </w:pPr>
      <w:r>
        <w:rPr/>
        <w:t> </w:t>
      </w:r>
    </w:p>
    <w:p>
      <w:pPr>
        <w:pStyle w:val="TextBody"/>
        <w:bidi w:val="0"/>
        <w:jc w:val="center"/>
        <w:rPr/>
      </w:pPr>
      <w:r>
        <w:rPr/>
        <w:t> </w:t>
      </w:r>
    </w:p>
    <w:p>
      <w:pPr>
        <w:pStyle w:val="TextBody"/>
        <w:bidi w:val="0"/>
        <w:jc w:val="left"/>
        <w:rPr>
          <w:rFonts w:ascii="Times New Roman" w:hAnsi="Times New Roman"/>
          <w:b/>
          <w:color w:val="000000"/>
          <w:sz w:val="22"/>
        </w:rPr>
      </w:pPr>
      <w:r>
        <w:rPr>
          <w:rFonts w:ascii="Times New Roman" w:hAnsi="Times New Roman"/>
          <w:b/>
          <w:color w:val="000000"/>
          <w:sz w:val="22"/>
        </w:rPr>
        <w:t>(Mark One)</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QUARTERLY REPORT PURSUANT TO SECTION 13 OR 15(d) OF THE SECURITIES EXCHANGE ACT OF 1934</w:t>
            </w:r>
          </w:p>
        </w:tc>
      </w:tr>
    </w:tbl>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For the quarterly period ended June 30, 2026</w:t>
      </w:r>
      <w:r>
        <w:rPr>
          <w:rFonts w:ascii="Times New Roman" w:hAnsi="Times New Roman"/>
          <w:color w:val="000000"/>
          <w:sz w:val="20"/>
        </w:rPr>
        <w:t xml:space="preserve"> </w:t>
      </w:r>
      <w:r>
        <w:rPr>
          <w:rFonts w:ascii="Times New Roman" w:hAnsi="Times New Roman"/>
          <w:b/>
          <w:color w:val="000000"/>
          <w:sz w:val="20"/>
        </w:rPr>
        <w:t>or</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TRANSITION REPORT PURSUANT TO SECTION 13 OR 15(d) OF THE SECURITIES EXCHANGE ACT OF 1934</w:t>
            </w:r>
          </w:p>
        </w:tc>
      </w:tr>
    </w:tbl>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For the transition period from to</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Commission file number 1-37966</w:t>
      </w:r>
    </w:p>
    <w:p>
      <w:pPr>
        <w:pStyle w:val="TextBody"/>
        <w:bidi w:val="0"/>
        <w:spacing w:before="120" w:after="283"/>
        <w:jc w:val="center"/>
        <w:rPr>
          <w:rFonts w:ascii="Times New Roman" w:hAnsi="Times New Roman"/>
          <w:b/>
          <w:color w:val="000000"/>
          <w:sz w:val="40"/>
        </w:rPr>
      </w:pPr>
      <w:r>
        <w:rPr>
          <w:rFonts w:ascii="Times New Roman" w:hAnsi="Times New Roman"/>
          <w:b/>
          <w:color w:val="000000"/>
          <w:sz w:val="40"/>
        </w:rPr>
        <w:t>SEACOR Marine Holdings Inc.</w:t>
      </w:r>
    </w:p>
    <w:p>
      <w:pPr>
        <w:pStyle w:val="TextBody"/>
        <w:bidi w:val="0"/>
        <w:jc w:val="center"/>
        <w:rPr>
          <w:rFonts w:ascii="Times New Roman" w:hAnsi="Times New Roman"/>
          <w:b/>
          <w:color w:val="000000"/>
          <w:sz w:val="22"/>
        </w:rPr>
      </w:pPr>
      <w:r>
        <w:rPr>
          <w:rFonts w:ascii="Times New Roman" w:hAnsi="Times New Roman"/>
          <w:b/>
          <w:color w:val="000000"/>
          <w:sz w:val="22"/>
        </w:rPr>
        <w:t>(Exact Name of Registrant as Specified in Its Charter)</w:t>
      </w:r>
    </w:p>
    <w:p>
      <w:pPr>
        <w:pStyle w:val="TextBody"/>
        <w:pBdr>
          <w:bottom w:val="single" w:sz="4" w:space="1" w:color="000000"/>
        </w:pBdr>
        <w:bidi w:val="0"/>
        <w:jc w:val="center"/>
        <w:rPr/>
      </w:pPr>
      <w:r>
        <w:rPr/>
        <w:t> </w:t>
      </w:r>
    </w:p>
    <w:p>
      <w:pPr>
        <w:pStyle w:val="TextBody"/>
        <w:bidi w:val="0"/>
        <w:jc w:val="center"/>
        <w:rPr/>
      </w:pPr>
      <w:r>
        <w:rPr/>
        <w:t> </w:t>
      </w:r>
    </w:p>
    <w:tbl>
      <w:tblPr>
        <w:tblW w:w="6073" w:type="dxa"/>
        <w:jc w:val="left"/>
        <w:tblInd w:w="0" w:type="dxa"/>
        <w:tblLayout w:type="fixed"/>
        <w:tblCellMar>
          <w:top w:w="28" w:type="dxa"/>
          <w:left w:w="28" w:type="dxa"/>
          <w:bottom w:w="28" w:type="dxa"/>
          <w:right w:w="28" w:type="dxa"/>
        </w:tblCellMar>
      </w:tblPr>
      <w:tblGrid>
        <w:gridCol w:w="4246"/>
        <w:gridCol w:w="146"/>
        <w:gridCol w:w="1681"/>
      </w:tblGrid>
      <w:tr>
        <w:trPr/>
        <w:tc>
          <w:tcPr>
            <w:tcW w:w="4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r>
      <w:tr>
        <w:trPr/>
        <w:tc>
          <w:tcPr>
            <w:tcW w:w="4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47-2564547</w:t>
            </w:r>
          </w:p>
        </w:tc>
      </w:tr>
      <w:tr>
        <w:trPr/>
        <w:tc>
          <w:tcPr>
            <w:tcW w:w="424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(State or Other Jurisdiction of</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Incorporation or Organization)</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(IRS Employer</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Identification No.)</w:t>
            </w:r>
          </w:p>
        </w:tc>
      </w:tr>
      <w:tr>
        <w:trPr/>
        <w:tc>
          <w:tcPr>
            <w:tcW w:w="42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12121 Wickchester Lane, Suite 500, Houston, TX</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77079</w:t>
            </w:r>
          </w:p>
        </w:tc>
      </w:tr>
      <w:tr>
        <w:trPr/>
        <w:tc>
          <w:tcPr>
            <w:tcW w:w="4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(Address of Principal Executive Offices)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(Zip Code)</w:t>
            </w:r>
          </w:p>
        </w:tc>
      </w:tr>
    </w:tbl>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Registrant’s Telephone Number, Including Area Code: (346) 980-1700</w:t>
      </w:r>
    </w:p>
    <w:p>
      <w:pPr>
        <w:pStyle w:val="TextBody"/>
        <w:pBdr>
          <w:bottom w:val="single" w:sz="4" w:space="1" w:color="000000"/>
        </w:pBdr>
        <w:bidi w:val="0"/>
        <w:jc w:val="center"/>
        <w:rPr/>
      </w:pPr>
      <w:r>
        <w:rPr/>
        <w:t> </w:t>
      </w:r>
    </w:p>
    <w:p>
      <w:pPr>
        <w:pStyle w:val="TextBody"/>
        <w:bidi w:val="0"/>
        <w:jc w:val="center"/>
        <w:rPr/>
      </w:pPr>
      <w:r>
        <w:rPr/>
        <w:t> </w:t>
      </w:r>
    </w:p>
    <w:p>
      <w:pPr>
        <w:pStyle w:val="TextBody"/>
        <w:bidi w:val="0"/>
        <w:jc w:val="both"/>
        <w:rPr>
          <w:rFonts w:ascii="Times New Roman" w:hAnsi="Times New Roman"/>
          <w:color w:val="000000"/>
          <w:sz w:val="20"/>
        </w:rPr>
      </w:pPr>
      <w:r>
        <w:rPr>
          <w:rFonts w:ascii="Times New Roman" w:hAnsi="Times New Roman"/>
          <w:color w:val="000000"/>
          <w:sz w:val="20"/>
        </w:rPr>
        <w:t>Securities registered pursuant to Section 12(b) of the Act:</w:t>
      </w:r>
    </w:p>
    <w:p>
      <w:pPr>
        <w:pStyle w:val="TextBody"/>
        <w:bidi w:val="0"/>
        <w:jc w:val="both"/>
        <w:rPr/>
      </w:pPr>
      <w:r>
        <w:rPr/>
        <w:t> </w:t>
      </w:r>
    </w:p>
    <w:tbl>
      <w:tblPr>
        <w:tblW w:w="8988" w:type="dxa"/>
        <w:jc w:val="left"/>
        <w:tblInd w:w="0" w:type="dxa"/>
        <w:tblLayout w:type="fixed"/>
        <w:tblCellMar>
          <w:top w:w="28" w:type="dxa"/>
          <w:left w:w="28" w:type="dxa"/>
          <w:bottom w:w="28" w:type="dxa"/>
          <w:right w:w="28" w:type="dxa"/>
        </w:tblCellMar>
      </w:tblPr>
      <w:tblGrid>
        <w:gridCol w:w="3466"/>
        <w:gridCol w:w="1696"/>
        <w:gridCol w:w="3826"/>
      </w:tblGrid>
      <w:tr>
        <w:trPr/>
        <w:tc>
          <w:tcPr>
            <w:tcW w:w="3466" w:type="dxa"/>
            <w:tcBorders/>
            <w:vAlign w:val="center"/>
          </w:tcPr>
          <w:p>
            <w:pPr>
              <w:pStyle w:val="TableContents"/>
              <w:bidi w:val="0"/>
              <w:spacing w:before="0" w:after="283"/>
              <w:jc w:val="left"/>
              <w:rPr>
                <w:sz w:val="4"/>
                <w:szCs w:val="4"/>
              </w:rPr>
            </w:pPr>
            <w:r>
              <w:rPr>
                <w:sz w:val="4"/>
                <w:szCs w:val="4"/>
              </w:rPr>
            </w:r>
          </w:p>
        </w:tc>
        <w:tc>
          <w:tcPr>
            <w:tcW w:w="169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4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u w:val="single"/>
              </w:rPr>
            </w:pPr>
            <w:r>
              <w:rPr>
                <w:rFonts w:ascii="Times New Roman" w:hAnsi="Times New Roman"/>
                <w:b/>
                <w:color w:val="000000"/>
                <w:sz w:val="20"/>
                <w:u w:val="single"/>
              </w:rPr>
              <w:t>Title of each class</w:t>
            </w:r>
          </w:p>
        </w:tc>
        <w:tc>
          <w:tcPr>
            <w:tcW w:w="16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u w:val="single"/>
              </w:rPr>
            </w:pPr>
            <w:r>
              <w:rPr>
                <w:rFonts w:ascii="Times New Roman" w:hAnsi="Times New Roman"/>
                <w:b/>
                <w:color w:val="000000"/>
                <w:sz w:val="20"/>
                <w:u w:val="single"/>
              </w:rPr>
              <w:t>Trading Symbol(s)</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u w:val="single"/>
              </w:rPr>
            </w:pPr>
            <w:r>
              <w:rPr>
                <w:rFonts w:ascii="Times New Roman" w:hAnsi="Times New Roman"/>
                <w:b/>
                <w:color w:val="000000"/>
                <w:sz w:val="20"/>
                <w:u w:val="single"/>
              </w:rPr>
              <w:t>Name of each exchange on which registered</w:t>
            </w:r>
          </w:p>
        </w:tc>
      </w:tr>
      <w:tr>
        <w:trPr/>
        <w:tc>
          <w:tcPr>
            <w:tcW w:w="34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par value $0.01 per share</w:t>
            </w:r>
          </w:p>
        </w:tc>
        <w:tc>
          <w:tcPr>
            <w:tcW w:w="16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SMHI</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New York Stock Exchange</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1684"/>
        <w:gridCol w:w="316"/>
        <w:gridCol w:w="1340"/>
        <w:gridCol w:w="316"/>
        <w:gridCol w:w="1700"/>
        <w:gridCol w:w="316"/>
        <w:gridCol w:w="1921"/>
        <w:gridCol w:w="316"/>
        <w:gridCol w:w="1933"/>
        <w:gridCol w:w="363"/>
      </w:tblGrid>
      <w:tr>
        <w:trPr/>
        <w:tc>
          <w:tcPr>
            <w:tcW w:w="168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700"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92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93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r>
      <w:tr>
        <w:trPr/>
        <w:tc>
          <w:tcPr>
            <w:tcW w:w="168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Large accelerated filer</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34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Accelerated filer</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70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Non-accelerated filer</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9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Smaller reporting company</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93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Emerging growth company</w:t>
            </w:r>
          </w:p>
        </w:tc>
        <w:tc>
          <w:tcPr>
            <w:tcW w:w="363"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Indicate by check mark whether the registrant is a shell company (as defined in Rule 12b-2 of the Exchange Act). Yes ☐ No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total number of shares of common stock, par value $.01 per share (“Common Stock”), outstanding as of July 24, 2026 was 27,132,826. The registrant has no other class of common stock outstanding.</w:t>
      </w:r>
    </w:p>
    <w:p>
      <w:pPr>
        <w:pStyle w:val="TextBody"/>
        <w:pBdr>
          <w:bottom w:val="double" w:sz="6" w:space="1" w:color="000000"/>
        </w:pBdr>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SEACOR MARINE HOLDINGS INC.</w:t>
      </w:r>
    </w:p>
    <w:p>
      <w:pPr>
        <w:pStyle w:val="TextBody"/>
        <w:bidi w:val="0"/>
        <w:spacing w:before="200" w:after="283"/>
        <w:jc w:val="center"/>
        <w:rPr>
          <w:rFonts w:ascii="Times New Roman" w:hAnsi="Times New Roman"/>
          <w:b/>
          <w:color w:val="000000"/>
          <w:sz w:val="24"/>
        </w:rPr>
      </w:pPr>
      <w:bookmarkStart w:id="2" w:name="table_contents"/>
      <w:bookmarkEnd w:id="2"/>
      <w:r>
        <w:rPr>
          <w:rFonts w:ascii="Times New Roman" w:hAnsi="Times New Roman"/>
          <w:b/>
          <w:color w:val="000000"/>
          <w:sz w:val="24"/>
        </w:rPr>
        <w:t>Table of Contents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54"/>
        <w:gridCol w:w="146"/>
        <w:gridCol w:w="773"/>
        <w:gridCol w:w="8094"/>
        <w:gridCol w:w="146"/>
        <w:gridCol w:w="392"/>
      </w:tblGrid>
      <w:tr>
        <w:trPr/>
        <w:tc>
          <w:tcPr>
            <w:tcW w:w="65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809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r>
      <w:tr>
        <w:trPr/>
        <w:tc>
          <w:tcPr>
            <w:tcW w:w="65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Part I.</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867" w:type="dxa"/>
            <w:gridSpan w:val="2"/>
            <w:tcBorders/>
            <w:tcMar>
              <w:top w:w="0" w:type="dxa"/>
              <w:left w:w="0" w:type="dxa"/>
              <w:bottom w:w="0" w:type="dxa"/>
              <w:right w:w="0" w:type="dxa"/>
            </w:tcMar>
            <w:vAlign w:val="center"/>
          </w:tcPr>
          <w:p>
            <w:pPr>
              <w:pStyle w:val="TableContents"/>
              <w:bidi w:val="0"/>
              <w:spacing w:before="0" w:after="283"/>
              <w:jc w:val="left"/>
              <w:rPr/>
            </w:pPr>
            <w:hyperlink w:anchor="part_ifinancial_information">
              <w:r>
                <w:rPr>
                  <w:rStyle w:val="InternetLink"/>
                  <w:rFonts w:ascii="Times New Roman" w:hAnsi="Times New Roman"/>
                  <w:color w:val="0000FF"/>
                  <w:sz w:val="24"/>
                  <w:u w:val="single"/>
                </w:rPr>
                <w:t>Financial Information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1</w:t>
            </w:r>
          </w:p>
        </w:tc>
      </w:tr>
      <w:tr>
        <w:trPr/>
        <w:tc>
          <w:tcPr>
            <w:tcW w:w="65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tcMar>
              <w:top w:w="0" w:type="dxa"/>
              <w:left w:w="0" w:type="dxa"/>
              <w:bottom w:w="0" w:type="dxa"/>
              <w:right w:w="0" w:type="dxa"/>
            </w:tcMar>
            <w:vAlign w:val="center"/>
          </w:tcPr>
          <w:p>
            <w:pPr>
              <w:pStyle w:val="TableContents"/>
              <w:bidi w:val="0"/>
              <w:spacing w:before="0" w:after="283"/>
              <w:jc w:val="left"/>
              <w:rPr/>
            </w:pPr>
            <w:r>
              <w:rPr/>
              <w:t> </w:t>
            </w:r>
          </w:p>
        </w:tc>
        <w:tc>
          <w:tcPr>
            <w:tcW w:w="809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65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Item 1.</w:t>
            </w:r>
          </w:p>
        </w:tc>
        <w:tc>
          <w:tcPr>
            <w:tcW w:w="8094" w:type="dxa"/>
            <w:tcBorders/>
            <w:tcMar>
              <w:top w:w="0" w:type="dxa"/>
              <w:left w:w="0" w:type="dxa"/>
              <w:bottom w:w="0" w:type="dxa"/>
              <w:right w:w="0" w:type="dxa"/>
            </w:tcMar>
            <w:vAlign w:val="center"/>
          </w:tcPr>
          <w:p>
            <w:pPr>
              <w:pStyle w:val="TableContents"/>
              <w:bidi w:val="0"/>
              <w:spacing w:before="0" w:after="283"/>
              <w:jc w:val="left"/>
              <w:rPr/>
            </w:pPr>
            <w:hyperlink w:anchor="item_1_financial_statements">
              <w:r>
                <w:rPr>
                  <w:rStyle w:val="InternetLink"/>
                  <w:rFonts w:ascii="Times New Roman" w:hAnsi="Times New Roman"/>
                  <w:color w:val="0000FF"/>
                  <w:sz w:val="24"/>
                  <w:u w:val="single"/>
                </w:rPr>
                <w:t>Financial Statements (Unaudited)</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1</w:t>
            </w:r>
          </w:p>
        </w:tc>
      </w:tr>
      <w:tr>
        <w:trPr/>
        <w:tc>
          <w:tcPr>
            <w:tcW w:w="65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tcMar>
              <w:top w:w="0" w:type="dxa"/>
              <w:left w:w="0" w:type="dxa"/>
              <w:bottom w:w="0" w:type="dxa"/>
              <w:right w:w="0" w:type="dxa"/>
            </w:tcMar>
            <w:vAlign w:val="center"/>
          </w:tcPr>
          <w:p>
            <w:pPr>
              <w:pStyle w:val="TableContents"/>
              <w:bidi w:val="0"/>
              <w:spacing w:before="0" w:after="283"/>
              <w:jc w:val="left"/>
              <w:rPr/>
            </w:pPr>
            <w:r>
              <w:rPr/>
              <w:t> </w:t>
            </w:r>
          </w:p>
        </w:tc>
        <w:tc>
          <w:tcPr>
            <w:tcW w:w="809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65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tcMar>
              <w:top w:w="0" w:type="dxa"/>
              <w:left w:w="0" w:type="dxa"/>
              <w:bottom w:w="0" w:type="dxa"/>
              <w:right w:w="0" w:type="dxa"/>
            </w:tcMar>
            <w:vAlign w:val="center"/>
          </w:tcPr>
          <w:p>
            <w:pPr>
              <w:pStyle w:val="TableContents"/>
              <w:bidi w:val="0"/>
              <w:spacing w:before="0" w:after="283"/>
              <w:jc w:val="left"/>
              <w:rPr/>
            </w:pPr>
            <w:r>
              <w:rPr/>
              <w:t> </w:t>
            </w:r>
          </w:p>
        </w:tc>
        <w:tc>
          <w:tcPr>
            <w:tcW w:w="8094" w:type="dxa"/>
            <w:tcBorders/>
            <w:tcMar>
              <w:top w:w="0" w:type="dxa"/>
              <w:left w:w="0" w:type="dxa"/>
              <w:bottom w:w="0" w:type="dxa"/>
              <w:right w:w="0" w:type="dxa"/>
            </w:tcMar>
            <w:vAlign w:val="center"/>
          </w:tcPr>
          <w:p>
            <w:pPr>
              <w:pStyle w:val="TableContents"/>
              <w:bidi w:val="0"/>
              <w:spacing w:before="0" w:after="283"/>
              <w:jc w:val="left"/>
              <w:rPr/>
            </w:pPr>
            <w:hyperlink w:anchor="unaudited_condensed_consolidated_balance">
              <w:r>
                <w:rPr>
                  <w:rStyle w:val="InternetLink"/>
                  <w:rFonts w:ascii="Times New Roman" w:hAnsi="Times New Roman"/>
                  <w:color w:val="0000FF"/>
                  <w:sz w:val="24"/>
                  <w:u w:val="single"/>
                </w:rPr>
                <w:t>Condensed Consolidated Balance Sheets as of June 30, 2026 and December 31, 2025</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1</w:t>
            </w:r>
          </w:p>
        </w:tc>
      </w:tr>
      <w:tr>
        <w:trPr/>
        <w:tc>
          <w:tcPr>
            <w:tcW w:w="65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tcMar>
              <w:top w:w="0" w:type="dxa"/>
              <w:left w:w="0" w:type="dxa"/>
              <w:bottom w:w="0" w:type="dxa"/>
              <w:right w:w="0" w:type="dxa"/>
            </w:tcMar>
            <w:vAlign w:val="center"/>
          </w:tcPr>
          <w:p>
            <w:pPr>
              <w:pStyle w:val="TableContents"/>
              <w:bidi w:val="0"/>
              <w:spacing w:before="0" w:after="283"/>
              <w:jc w:val="left"/>
              <w:rPr/>
            </w:pPr>
            <w:r>
              <w:rPr/>
              <w:t> </w:t>
            </w:r>
          </w:p>
        </w:tc>
        <w:tc>
          <w:tcPr>
            <w:tcW w:w="809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65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tcMar>
              <w:top w:w="0" w:type="dxa"/>
              <w:left w:w="0" w:type="dxa"/>
              <w:bottom w:w="0" w:type="dxa"/>
              <w:right w:w="0" w:type="dxa"/>
            </w:tcMar>
            <w:vAlign w:val="center"/>
          </w:tcPr>
          <w:p>
            <w:pPr>
              <w:pStyle w:val="TableContents"/>
              <w:bidi w:val="0"/>
              <w:spacing w:before="0" w:after="283"/>
              <w:jc w:val="left"/>
              <w:rPr/>
            </w:pPr>
            <w:r>
              <w:rPr/>
              <w:t> </w:t>
            </w:r>
          </w:p>
        </w:tc>
        <w:tc>
          <w:tcPr>
            <w:tcW w:w="8094" w:type="dxa"/>
            <w:tcBorders/>
            <w:tcMar>
              <w:top w:w="0" w:type="dxa"/>
              <w:left w:w="0" w:type="dxa"/>
              <w:bottom w:w="0" w:type="dxa"/>
              <w:right w:w="0" w:type="dxa"/>
            </w:tcMar>
            <w:vAlign w:val="center"/>
          </w:tcPr>
          <w:p>
            <w:pPr>
              <w:pStyle w:val="TableContents"/>
              <w:bidi w:val="0"/>
              <w:spacing w:before="0" w:after="283"/>
              <w:jc w:val="left"/>
              <w:rPr/>
            </w:pPr>
            <w:hyperlink w:anchor="unaudited_condensed_consolidated">
              <w:r>
                <w:rPr>
                  <w:rStyle w:val="InternetLink"/>
                  <w:rFonts w:ascii="Times New Roman" w:hAnsi="Times New Roman"/>
                  <w:color w:val="0000FF"/>
                  <w:sz w:val="24"/>
                  <w:u w:val="single"/>
                </w:rPr>
                <w:t>Condensed Consolidated Statements of Income (Loss) for the Three and Six Months Ended June 30, 2026 and 2025</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2</w:t>
            </w:r>
          </w:p>
        </w:tc>
      </w:tr>
      <w:tr>
        <w:trPr/>
        <w:tc>
          <w:tcPr>
            <w:tcW w:w="65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tcMar>
              <w:top w:w="0" w:type="dxa"/>
              <w:left w:w="0" w:type="dxa"/>
              <w:bottom w:w="0" w:type="dxa"/>
              <w:right w:w="0" w:type="dxa"/>
            </w:tcMar>
            <w:vAlign w:val="center"/>
          </w:tcPr>
          <w:p>
            <w:pPr>
              <w:pStyle w:val="TableContents"/>
              <w:bidi w:val="0"/>
              <w:spacing w:before="0" w:after="283"/>
              <w:jc w:val="left"/>
              <w:rPr/>
            </w:pPr>
            <w:r>
              <w:rPr/>
              <w:t> </w:t>
            </w:r>
          </w:p>
        </w:tc>
        <w:tc>
          <w:tcPr>
            <w:tcW w:w="809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65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tcMar>
              <w:top w:w="0" w:type="dxa"/>
              <w:left w:w="0" w:type="dxa"/>
              <w:bottom w:w="0" w:type="dxa"/>
              <w:right w:w="0" w:type="dxa"/>
            </w:tcMar>
            <w:vAlign w:val="center"/>
          </w:tcPr>
          <w:p>
            <w:pPr>
              <w:pStyle w:val="TableContents"/>
              <w:bidi w:val="0"/>
              <w:spacing w:before="0" w:after="283"/>
              <w:jc w:val="left"/>
              <w:rPr/>
            </w:pPr>
            <w:r>
              <w:rPr/>
              <w:t> </w:t>
            </w:r>
          </w:p>
        </w:tc>
        <w:tc>
          <w:tcPr>
            <w:tcW w:w="8094" w:type="dxa"/>
            <w:tcBorders/>
            <w:tcMar>
              <w:top w:w="0" w:type="dxa"/>
              <w:left w:w="0" w:type="dxa"/>
              <w:bottom w:w="0" w:type="dxa"/>
              <w:right w:w="0" w:type="dxa"/>
            </w:tcMar>
            <w:vAlign w:val="center"/>
          </w:tcPr>
          <w:p>
            <w:pPr>
              <w:pStyle w:val="TableContents"/>
              <w:bidi w:val="0"/>
              <w:spacing w:before="0" w:after="283"/>
              <w:jc w:val="left"/>
              <w:rPr/>
            </w:pPr>
            <w:hyperlink w:anchor="unaudited_condensed_consolidated_stateme">
              <w:r>
                <w:rPr>
                  <w:rStyle w:val="InternetLink"/>
                  <w:rFonts w:ascii="Times New Roman" w:hAnsi="Times New Roman"/>
                  <w:color w:val="0000FF"/>
                  <w:sz w:val="24"/>
                  <w:u w:val="single"/>
                </w:rPr>
                <w:t>Condensed Consolidated Statements of Comprehensive Income (Loss) for the Three</w:t>
              </w:r>
            </w:hyperlink>
            <w:r>
              <w:rPr>
                <w:rFonts w:ascii="Times New Roman" w:hAnsi="Times New Roman"/>
                <w:color w:val="000000"/>
                <w:sz w:val="24"/>
              </w:rPr>
              <w:t xml:space="preserve"> </w:t>
            </w:r>
            <w:hyperlink w:anchor="unaudited_condensed_consolidated">
              <w:r>
                <w:rPr>
                  <w:rStyle w:val="InternetLink"/>
                  <w:rFonts w:ascii="Times New Roman" w:hAnsi="Times New Roman"/>
                  <w:color w:val="0000FF"/>
                  <w:sz w:val="24"/>
                  <w:u w:val="single"/>
                </w:rPr>
                <w:t>and Six</w:t>
              </w:r>
            </w:hyperlink>
            <w:hyperlink w:anchor="unaudited_condensed_consolidated">
              <w:r>
                <w:rPr>
                  <w:rStyle w:val="InternetLink"/>
                  <w:rFonts w:ascii="Times New Roman" w:hAnsi="Times New Roman"/>
                  <w:color w:val="0000FF"/>
                  <w:sz w:val="24"/>
                </w:rPr>
                <w:t xml:space="preserve"> </w:t>
              </w:r>
            </w:hyperlink>
            <w:hyperlink w:anchor="unaudited_condensed_consolidated_stateme">
              <w:r>
                <w:rPr>
                  <w:rStyle w:val="InternetLink"/>
                  <w:rFonts w:ascii="Times New Roman" w:hAnsi="Times New Roman"/>
                  <w:color w:val="0000FF"/>
                  <w:sz w:val="24"/>
                  <w:u w:val="single"/>
                </w:rPr>
                <w:t>Months Ended June 30, 2026 and 2025</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3</w:t>
            </w:r>
          </w:p>
        </w:tc>
      </w:tr>
      <w:tr>
        <w:trPr/>
        <w:tc>
          <w:tcPr>
            <w:tcW w:w="65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tcMar>
              <w:top w:w="0" w:type="dxa"/>
              <w:left w:w="0" w:type="dxa"/>
              <w:bottom w:w="0" w:type="dxa"/>
              <w:right w:w="0" w:type="dxa"/>
            </w:tcMar>
            <w:vAlign w:val="center"/>
          </w:tcPr>
          <w:p>
            <w:pPr>
              <w:pStyle w:val="TableContents"/>
              <w:bidi w:val="0"/>
              <w:spacing w:before="0" w:after="283"/>
              <w:jc w:val="left"/>
              <w:rPr/>
            </w:pPr>
            <w:r>
              <w:rPr/>
              <w:t> </w:t>
            </w:r>
          </w:p>
        </w:tc>
        <w:tc>
          <w:tcPr>
            <w:tcW w:w="809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65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tcMar>
              <w:top w:w="0" w:type="dxa"/>
              <w:left w:w="0" w:type="dxa"/>
              <w:bottom w:w="0" w:type="dxa"/>
              <w:right w:w="0" w:type="dxa"/>
            </w:tcMar>
            <w:vAlign w:val="center"/>
          </w:tcPr>
          <w:p>
            <w:pPr>
              <w:pStyle w:val="TableContents"/>
              <w:bidi w:val="0"/>
              <w:spacing w:before="0" w:after="283"/>
              <w:jc w:val="left"/>
              <w:rPr/>
            </w:pPr>
            <w:r>
              <w:rPr/>
              <w:t> </w:t>
            </w:r>
          </w:p>
        </w:tc>
        <w:tc>
          <w:tcPr>
            <w:tcW w:w="8094" w:type="dxa"/>
            <w:tcBorders/>
            <w:tcMar>
              <w:top w:w="0" w:type="dxa"/>
              <w:left w:w="0" w:type="dxa"/>
              <w:bottom w:w="0" w:type="dxa"/>
              <w:right w:w="0" w:type="dxa"/>
            </w:tcMar>
            <w:vAlign w:val="center"/>
          </w:tcPr>
          <w:p>
            <w:pPr>
              <w:pStyle w:val="TableContents"/>
              <w:bidi w:val="0"/>
              <w:spacing w:before="0" w:after="283"/>
              <w:jc w:val="left"/>
              <w:rPr/>
            </w:pPr>
            <w:hyperlink w:anchor="unaudited_condensed_equity">
              <w:r>
                <w:rPr>
                  <w:rStyle w:val="InternetLink"/>
                  <w:rFonts w:ascii="Times New Roman" w:hAnsi="Times New Roman"/>
                  <w:color w:val="0000FF"/>
                  <w:sz w:val="24"/>
                  <w:u w:val="single"/>
                </w:rPr>
                <w:t>Condensed Consolidated Statements of Changes in Equity for the Three</w:t>
              </w:r>
            </w:hyperlink>
            <w:hyperlink w:anchor="unaudited_condensed_equity">
              <w:r>
                <w:rPr>
                  <w:rStyle w:val="InternetLink"/>
                  <w:rFonts w:ascii="Times New Roman" w:hAnsi="Times New Roman"/>
                  <w:color w:val="0000FF"/>
                  <w:sz w:val="24"/>
                </w:rPr>
                <w:t xml:space="preserve"> </w:t>
              </w:r>
            </w:hyperlink>
            <w:hyperlink w:anchor="unaudited_condensed_consolidated">
              <w:r>
                <w:rPr>
                  <w:rStyle w:val="InternetLink"/>
                  <w:rFonts w:ascii="Times New Roman" w:hAnsi="Times New Roman"/>
                  <w:color w:val="0000FF"/>
                  <w:sz w:val="24"/>
                  <w:u w:val="single"/>
                </w:rPr>
                <w:t>and Six</w:t>
              </w:r>
            </w:hyperlink>
            <w:hyperlink w:anchor="unaudited_condensed_consolidated">
              <w:r>
                <w:rPr>
                  <w:rStyle w:val="InternetLink"/>
                  <w:rFonts w:ascii="Times New Roman" w:hAnsi="Times New Roman"/>
                  <w:color w:val="0000FF"/>
                  <w:sz w:val="24"/>
                </w:rPr>
                <w:t xml:space="preserve"> </w:t>
              </w:r>
            </w:hyperlink>
            <w:hyperlink w:anchor="unaudited_condensed_equity">
              <w:r>
                <w:rPr>
                  <w:rStyle w:val="InternetLink"/>
                  <w:rFonts w:ascii="Times New Roman" w:hAnsi="Times New Roman"/>
                  <w:color w:val="0000FF"/>
                  <w:sz w:val="24"/>
                  <w:u w:val="single"/>
                </w:rPr>
                <w:t>Months Ended June 30, 2026 and 2025</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4</w:t>
            </w:r>
          </w:p>
        </w:tc>
      </w:tr>
      <w:tr>
        <w:trPr/>
        <w:tc>
          <w:tcPr>
            <w:tcW w:w="65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tcMar>
              <w:top w:w="0" w:type="dxa"/>
              <w:left w:w="0" w:type="dxa"/>
              <w:bottom w:w="0" w:type="dxa"/>
              <w:right w:w="0" w:type="dxa"/>
            </w:tcMar>
            <w:vAlign w:val="center"/>
          </w:tcPr>
          <w:p>
            <w:pPr>
              <w:pStyle w:val="TableContents"/>
              <w:bidi w:val="0"/>
              <w:spacing w:before="0" w:after="283"/>
              <w:jc w:val="left"/>
              <w:rPr/>
            </w:pPr>
            <w:r>
              <w:rPr/>
              <w:t> </w:t>
            </w:r>
          </w:p>
        </w:tc>
        <w:tc>
          <w:tcPr>
            <w:tcW w:w="809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65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tcMar>
              <w:top w:w="0" w:type="dxa"/>
              <w:left w:w="0" w:type="dxa"/>
              <w:bottom w:w="0" w:type="dxa"/>
              <w:right w:w="0" w:type="dxa"/>
            </w:tcMar>
            <w:vAlign w:val="center"/>
          </w:tcPr>
          <w:p>
            <w:pPr>
              <w:pStyle w:val="TableContents"/>
              <w:bidi w:val="0"/>
              <w:spacing w:before="0" w:after="283"/>
              <w:jc w:val="left"/>
              <w:rPr/>
            </w:pPr>
            <w:r>
              <w:rPr/>
              <w:t> </w:t>
            </w:r>
          </w:p>
        </w:tc>
        <w:tc>
          <w:tcPr>
            <w:tcW w:w="8094" w:type="dxa"/>
            <w:tcBorders/>
            <w:tcMar>
              <w:top w:w="0" w:type="dxa"/>
              <w:left w:w="0" w:type="dxa"/>
              <w:bottom w:w="0" w:type="dxa"/>
              <w:right w:w="0" w:type="dxa"/>
            </w:tcMar>
            <w:vAlign w:val="center"/>
          </w:tcPr>
          <w:p>
            <w:pPr>
              <w:pStyle w:val="TableContents"/>
              <w:bidi w:val="0"/>
              <w:spacing w:before="0" w:after="283"/>
              <w:jc w:val="left"/>
              <w:rPr/>
            </w:pPr>
            <w:hyperlink w:anchor="unaudited_consolidated_cash_flow">
              <w:r>
                <w:rPr>
                  <w:rStyle w:val="InternetLink"/>
                  <w:rFonts w:ascii="Times New Roman" w:hAnsi="Times New Roman"/>
                  <w:color w:val="0000FF"/>
                  <w:sz w:val="24"/>
                  <w:u w:val="single"/>
                </w:rPr>
                <w:t>Condensed Consolidated Statements of Cash Flows for the Six Months Ended June 30, 2026 and 2025</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5</w:t>
            </w:r>
          </w:p>
        </w:tc>
      </w:tr>
      <w:tr>
        <w:trPr/>
        <w:tc>
          <w:tcPr>
            <w:tcW w:w="65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tcMar>
              <w:top w:w="0" w:type="dxa"/>
              <w:left w:w="0" w:type="dxa"/>
              <w:bottom w:w="0" w:type="dxa"/>
              <w:right w:w="0" w:type="dxa"/>
            </w:tcMar>
            <w:vAlign w:val="center"/>
          </w:tcPr>
          <w:p>
            <w:pPr>
              <w:pStyle w:val="TableContents"/>
              <w:bidi w:val="0"/>
              <w:spacing w:before="0" w:after="283"/>
              <w:jc w:val="left"/>
              <w:rPr/>
            </w:pPr>
            <w:r>
              <w:rPr/>
              <w:t> </w:t>
            </w:r>
          </w:p>
        </w:tc>
        <w:tc>
          <w:tcPr>
            <w:tcW w:w="809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65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tcMar>
              <w:top w:w="0" w:type="dxa"/>
              <w:left w:w="0" w:type="dxa"/>
              <w:bottom w:w="0" w:type="dxa"/>
              <w:right w:w="0" w:type="dxa"/>
            </w:tcMar>
            <w:vAlign w:val="center"/>
          </w:tcPr>
          <w:p>
            <w:pPr>
              <w:pStyle w:val="TableContents"/>
              <w:bidi w:val="0"/>
              <w:spacing w:before="0" w:after="283"/>
              <w:jc w:val="left"/>
              <w:rPr/>
            </w:pPr>
            <w:r>
              <w:rPr/>
              <w:t> </w:t>
            </w:r>
          </w:p>
        </w:tc>
        <w:tc>
          <w:tcPr>
            <w:tcW w:w="8094" w:type="dxa"/>
            <w:tcBorders/>
            <w:tcMar>
              <w:top w:w="0" w:type="dxa"/>
              <w:left w:w="0" w:type="dxa"/>
              <w:bottom w:w="0" w:type="dxa"/>
              <w:right w:w="0" w:type="dxa"/>
            </w:tcMar>
            <w:vAlign w:val="center"/>
          </w:tcPr>
          <w:p>
            <w:pPr>
              <w:pStyle w:val="TableContents"/>
              <w:bidi w:val="0"/>
              <w:spacing w:before="0" w:after="283"/>
              <w:jc w:val="left"/>
              <w:rPr/>
            </w:pPr>
            <w:hyperlink w:anchor="notes_to_condensed_consolidated_financia">
              <w:r>
                <w:rPr>
                  <w:rStyle w:val="InternetLink"/>
                  <w:rFonts w:ascii="Times New Roman" w:hAnsi="Times New Roman"/>
                  <w:color w:val="0000FF"/>
                  <w:sz w:val="24"/>
                  <w:u w:val="single"/>
                </w:rPr>
                <w:t>Notes to Condensed Consolidated Financial Statements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6</w:t>
            </w:r>
          </w:p>
        </w:tc>
      </w:tr>
      <w:tr>
        <w:trPr/>
        <w:tc>
          <w:tcPr>
            <w:tcW w:w="65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tcMar>
              <w:top w:w="0" w:type="dxa"/>
              <w:left w:w="0" w:type="dxa"/>
              <w:bottom w:w="0" w:type="dxa"/>
              <w:right w:w="0" w:type="dxa"/>
            </w:tcMar>
            <w:vAlign w:val="center"/>
          </w:tcPr>
          <w:p>
            <w:pPr>
              <w:pStyle w:val="TableContents"/>
              <w:bidi w:val="0"/>
              <w:spacing w:before="0" w:after="283"/>
              <w:jc w:val="left"/>
              <w:rPr/>
            </w:pPr>
            <w:r>
              <w:rPr/>
              <w:t> </w:t>
            </w:r>
          </w:p>
        </w:tc>
        <w:tc>
          <w:tcPr>
            <w:tcW w:w="809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65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Item 2.</w:t>
            </w:r>
          </w:p>
        </w:tc>
        <w:tc>
          <w:tcPr>
            <w:tcW w:w="8094" w:type="dxa"/>
            <w:tcBorders/>
            <w:tcMar>
              <w:top w:w="0" w:type="dxa"/>
              <w:left w:w="0" w:type="dxa"/>
              <w:bottom w:w="0" w:type="dxa"/>
              <w:right w:w="0" w:type="dxa"/>
            </w:tcMar>
            <w:vAlign w:val="center"/>
          </w:tcPr>
          <w:p>
            <w:pPr>
              <w:pStyle w:val="TableContents"/>
              <w:bidi w:val="0"/>
              <w:spacing w:before="0" w:after="283"/>
              <w:jc w:val="left"/>
              <w:rPr/>
            </w:pPr>
            <w:hyperlink w:anchor="item_2_managements_discussion_analysis_f">
              <w:r>
                <w:rPr>
                  <w:rStyle w:val="InternetLink"/>
                  <w:rFonts w:ascii="Times New Roman" w:hAnsi="Times New Roman"/>
                  <w:color w:val="0000FF"/>
                  <w:sz w:val="24"/>
                  <w:u w:val="single"/>
                </w:rPr>
                <w:t>Management’s Discussion and Analysis of Financial Condition and Results of Operations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21</w:t>
            </w:r>
          </w:p>
        </w:tc>
      </w:tr>
      <w:tr>
        <w:trPr/>
        <w:tc>
          <w:tcPr>
            <w:tcW w:w="65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tcMar>
              <w:top w:w="0" w:type="dxa"/>
              <w:left w:w="0" w:type="dxa"/>
              <w:bottom w:w="0" w:type="dxa"/>
              <w:right w:w="0" w:type="dxa"/>
            </w:tcMar>
            <w:vAlign w:val="center"/>
          </w:tcPr>
          <w:p>
            <w:pPr>
              <w:pStyle w:val="TableContents"/>
              <w:bidi w:val="0"/>
              <w:spacing w:before="0" w:after="283"/>
              <w:jc w:val="left"/>
              <w:rPr/>
            </w:pPr>
            <w:r>
              <w:rPr/>
              <w:t> </w:t>
            </w:r>
          </w:p>
        </w:tc>
        <w:tc>
          <w:tcPr>
            <w:tcW w:w="809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65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Item 3.</w:t>
            </w:r>
          </w:p>
        </w:tc>
        <w:tc>
          <w:tcPr>
            <w:tcW w:w="8094" w:type="dxa"/>
            <w:tcBorders/>
            <w:tcMar>
              <w:top w:w="0" w:type="dxa"/>
              <w:left w:w="0" w:type="dxa"/>
              <w:bottom w:w="0" w:type="dxa"/>
              <w:right w:w="0" w:type="dxa"/>
            </w:tcMar>
            <w:vAlign w:val="center"/>
          </w:tcPr>
          <w:p>
            <w:pPr>
              <w:pStyle w:val="TableContents"/>
              <w:bidi w:val="0"/>
              <w:spacing w:before="0" w:after="283"/>
              <w:jc w:val="left"/>
              <w:rPr/>
            </w:pPr>
            <w:hyperlink w:anchor="item_3_quantitative_qualitative_disclosu">
              <w:r>
                <w:rPr>
                  <w:rStyle w:val="InternetLink"/>
                  <w:rFonts w:ascii="Times New Roman" w:hAnsi="Times New Roman"/>
                  <w:color w:val="0000FF"/>
                  <w:sz w:val="24"/>
                  <w:u w:val="single"/>
                </w:rPr>
                <w:t>Quantitative and Qualitative Disclosures About Market Risk</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43</w:t>
            </w:r>
          </w:p>
        </w:tc>
      </w:tr>
      <w:tr>
        <w:trPr/>
        <w:tc>
          <w:tcPr>
            <w:tcW w:w="65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tcMar>
              <w:top w:w="0" w:type="dxa"/>
              <w:left w:w="0" w:type="dxa"/>
              <w:bottom w:w="0" w:type="dxa"/>
              <w:right w:w="0" w:type="dxa"/>
            </w:tcMar>
            <w:vAlign w:val="center"/>
          </w:tcPr>
          <w:p>
            <w:pPr>
              <w:pStyle w:val="TableContents"/>
              <w:bidi w:val="0"/>
              <w:spacing w:before="0" w:after="283"/>
              <w:jc w:val="left"/>
              <w:rPr/>
            </w:pPr>
            <w:r>
              <w:rPr/>
              <w:t> </w:t>
            </w:r>
          </w:p>
        </w:tc>
        <w:tc>
          <w:tcPr>
            <w:tcW w:w="809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65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Item 4.</w:t>
            </w:r>
          </w:p>
        </w:tc>
        <w:tc>
          <w:tcPr>
            <w:tcW w:w="8094" w:type="dxa"/>
            <w:tcBorders/>
            <w:tcMar>
              <w:top w:w="0" w:type="dxa"/>
              <w:left w:w="0" w:type="dxa"/>
              <w:bottom w:w="0" w:type="dxa"/>
              <w:right w:w="0" w:type="dxa"/>
            </w:tcMar>
            <w:vAlign w:val="center"/>
          </w:tcPr>
          <w:p>
            <w:pPr>
              <w:pStyle w:val="TableContents"/>
              <w:bidi w:val="0"/>
              <w:spacing w:before="0" w:after="283"/>
              <w:jc w:val="left"/>
              <w:rPr/>
            </w:pPr>
            <w:hyperlink w:anchor="item_4_controls_procedures">
              <w:r>
                <w:rPr>
                  <w:rStyle w:val="InternetLink"/>
                  <w:rFonts w:ascii="Times New Roman" w:hAnsi="Times New Roman"/>
                  <w:color w:val="0000FF"/>
                  <w:sz w:val="24"/>
                  <w:u w:val="single"/>
                </w:rPr>
                <w:t>Controls and Procedures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43</w:t>
            </w:r>
          </w:p>
        </w:tc>
      </w:tr>
      <w:tr>
        <w:trPr/>
        <w:tc>
          <w:tcPr>
            <w:tcW w:w="65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tcMar>
              <w:top w:w="0" w:type="dxa"/>
              <w:left w:w="0" w:type="dxa"/>
              <w:bottom w:w="0" w:type="dxa"/>
              <w:right w:w="0" w:type="dxa"/>
            </w:tcMar>
            <w:vAlign w:val="center"/>
          </w:tcPr>
          <w:p>
            <w:pPr>
              <w:pStyle w:val="TableContents"/>
              <w:bidi w:val="0"/>
              <w:spacing w:before="0" w:after="283"/>
              <w:jc w:val="left"/>
              <w:rPr/>
            </w:pPr>
            <w:r>
              <w:rPr/>
              <w:t> </w:t>
            </w:r>
          </w:p>
        </w:tc>
        <w:tc>
          <w:tcPr>
            <w:tcW w:w="809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65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Part II.</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867" w:type="dxa"/>
            <w:gridSpan w:val="2"/>
            <w:tcBorders/>
            <w:tcMar>
              <w:top w:w="0" w:type="dxa"/>
              <w:left w:w="0" w:type="dxa"/>
              <w:bottom w:w="0" w:type="dxa"/>
              <w:right w:w="0" w:type="dxa"/>
            </w:tcMar>
            <w:vAlign w:val="center"/>
          </w:tcPr>
          <w:p>
            <w:pPr>
              <w:pStyle w:val="TableContents"/>
              <w:bidi w:val="0"/>
              <w:spacing w:before="0" w:after="283"/>
              <w:jc w:val="left"/>
              <w:rPr/>
            </w:pPr>
            <w:hyperlink w:anchor="part_iior_information">
              <w:r>
                <w:rPr>
                  <w:rStyle w:val="InternetLink"/>
                  <w:rFonts w:ascii="Times New Roman" w:hAnsi="Times New Roman"/>
                  <w:color w:val="0000FF"/>
                  <w:sz w:val="24"/>
                  <w:u w:val="single"/>
                </w:rPr>
                <w:t>Other Information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44</w:t>
            </w:r>
          </w:p>
        </w:tc>
      </w:tr>
      <w:tr>
        <w:trPr/>
        <w:tc>
          <w:tcPr>
            <w:tcW w:w="65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tcMar>
              <w:top w:w="0" w:type="dxa"/>
              <w:left w:w="0" w:type="dxa"/>
              <w:bottom w:w="0" w:type="dxa"/>
              <w:right w:w="0" w:type="dxa"/>
            </w:tcMar>
            <w:vAlign w:val="center"/>
          </w:tcPr>
          <w:p>
            <w:pPr>
              <w:pStyle w:val="TableContents"/>
              <w:bidi w:val="0"/>
              <w:spacing w:before="0" w:after="283"/>
              <w:jc w:val="left"/>
              <w:rPr/>
            </w:pPr>
            <w:r>
              <w:rPr/>
              <w:t> </w:t>
            </w:r>
          </w:p>
        </w:tc>
        <w:tc>
          <w:tcPr>
            <w:tcW w:w="809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65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Item 1.</w:t>
            </w:r>
          </w:p>
        </w:tc>
        <w:tc>
          <w:tcPr>
            <w:tcW w:w="8094" w:type="dxa"/>
            <w:tcBorders/>
            <w:tcMar>
              <w:top w:w="0" w:type="dxa"/>
              <w:left w:w="0" w:type="dxa"/>
              <w:bottom w:w="0" w:type="dxa"/>
              <w:right w:w="0" w:type="dxa"/>
            </w:tcMar>
            <w:vAlign w:val="center"/>
          </w:tcPr>
          <w:p>
            <w:pPr>
              <w:pStyle w:val="TableContents"/>
              <w:bidi w:val="0"/>
              <w:spacing w:before="0" w:after="283"/>
              <w:jc w:val="left"/>
              <w:rPr/>
            </w:pPr>
            <w:hyperlink w:anchor="item_1_legal_proceedings">
              <w:r>
                <w:rPr>
                  <w:rStyle w:val="InternetLink"/>
                  <w:rFonts w:ascii="Times New Roman" w:hAnsi="Times New Roman"/>
                  <w:color w:val="0000FF"/>
                  <w:sz w:val="24"/>
                  <w:u w:val="single"/>
                </w:rPr>
                <w:t>Legal Proceedings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44</w:t>
            </w:r>
          </w:p>
        </w:tc>
      </w:tr>
      <w:tr>
        <w:trPr/>
        <w:tc>
          <w:tcPr>
            <w:tcW w:w="65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tcMar>
              <w:top w:w="0" w:type="dxa"/>
              <w:left w:w="0" w:type="dxa"/>
              <w:bottom w:w="0" w:type="dxa"/>
              <w:right w:w="0" w:type="dxa"/>
            </w:tcMar>
            <w:vAlign w:val="center"/>
          </w:tcPr>
          <w:p>
            <w:pPr>
              <w:pStyle w:val="TableContents"/>
              <w:bidi w:val="0"/>
              <w:spacing w:before="0" w:after="283"/>
              <w:jc w:val="left"/>
              <w:rPr/>
            </w:pPr>
            <w:r>
              <w:rPr/>
              <w:t> </w:t>
            </w:r>
          </w:p>
        </w:tc>
        <w:tc>
          <w:tcPr>
            <w:tcW w:w="809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65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Item 1A.</w:t>
            </w:r>
          </w:p>
        </w:tc>
        <w:tc>
          <w:tcPr>
            <w:tcW w:w="8094" w:type="dxa"/>
            <w:tcBorders/>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Times New Roman" w:hAnsi="Times New Roman"/>
                  <w:color w:val="0000FF"/>
                  <w:sz w:val="24"/>
                  <w:u w:val="single"/>
                </w:rPr>
                <w:t>Risk Factors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44</w:t>
            </w:r>
          </w:p>
        </w:tc>
      </w:tr>
      <w:tr>
        <w:trPr/>
        <w:tc>
          <w:tcPr>
            <w:tcW w:w="65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tcMar>
              <w:top w:w="0" w:type="dxa"/>
              <w:left w:w="0" w:type="dxa"/>
              <w:bottom w:w="0" w:type="dxa"/>
              <w:right w:w="0" w:type="dxa"/>
            </w:tcMar>
            <w:vAlign w:val="center"/>
          </w:tcPr>
          <w:p>
            <w:pPr>
              <w:pStyle w:val="TableContents"/>
              <w:bidi w:val="0"/>
              <w:spacing w:before="0" w:after="283"/>
              <w:jc w:val="left"/>
              <w:rPr/>
            </w:pPr>
            <w:r>
              <w:rPr/>
              <w:t> </w:t>
            </w:r>
          </w:p>
        </w:tc>
        <w:tc>
          <w:tcPr>
            <w:tcW w:w="809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65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Item 2.</w:t>
            </w:r>
          </w:p>
        </w:tc>
        <w:tc>
          <w:tcPr>
            <w:tcW w:w="8094" w:type="dxa"/>
            <w:tcBorders/>
            <w:tcMar>
              <w:top w:w="0" w:type="dxa"/>
              <w:left w:w="0" w:type="dxa"/>
              <w:bottom w:w="0" w:type="dxa"/>
              <w:right w:w="0" w:type="dxa"/>
            </w:tcMar>
            <w:vAlign w:val="center"/>
          </w:tcPr>
          <w:p>
            <w:pPr>
              <w:pStyle w:val="TableContents"/>
              <w:bidi w:val="0"/>
              <w:spacing w:before="0" w:after="283"/>
              <w:jc w:val="left"/>
              <w:rPr/>
            </w:pPr>
            <w:hyperlink w:anchor="item_2_unregistered_sales_equity_securit">
              <w:r>
                <w:rPr>
                  <w:rStyle w:val="InternetLink"/>
                  <w:rFonts w:ascii="Times New Roman" w:hAnsi="Times New Roman"/>
                  <w:color w:val="0000FF"/>
                  <w:sz w:val="24"/>
                  <w:u w:val="single"/>
                </w:rPr>
                <w:t>Unregistered Sales of Equity Securities and Use of Proceeds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44</w:t>
            </w:r>
          </w:p>
        </w:tc>
      </w:tr>
      <w:tr>
        <w:trPr/>
        <w:tc>
          <w:tcPr>
            <w:tcW w:w="65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tcMar>
              <w:top w:w="0" w:type="dxa"/>
              <w:left w:w="0" w:type="dxa"/>
              <w:bottom w:w="0" w:type="dxa"/>
              <w:right w:w="0" w:type="dxa"/>
            </w:tcMar>
            <w:vAlign w:val="center"/>
          </w:tcPr>
          <w:p>
            <w:pPr>
              <w:pStyle w:val="TableContents"/>
              <w:bidi w:val="0"/>
              <w:spacing w:before="0" w:after="283"/>
              <w:jc w:val="left"/>
              <w:rPr/>
            </w:pPr>
            <w:r>
              <w:rPr/>
              <w:t> </w:t>
            </w:r>
          </w:p>
        </w:tc>
        <w:tc>
          <w:tcPr>
            <w:tcW w:w="809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65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Item 3.</w:t>
            </w:r>
          </w:p>
        </w:tc>
        <w:tc>
          <w:tcPr>
            <w:tcW w:w="8094" w:type="dxa"/>
            <w:tcBorders/>
            <w:tcMar>
              <w:top w:w="0" w:type="dxa"/>
              <w:left w:w="0" w:type="dxa"/>
              <w:bottom w:w="0" w:type="dxa"/>
              <w:right w:w="0" w:type="dxa"/>
            </w:tcMar>
            <w:vAlign w:val="center"/>
          </w:tcPr>
          <w:p>
            <w:pPr>
              <w:pStyle w:val="TableContents"/>
              <w:bidi w:val="0"/>
              <w:spacing w:before="0" w:after="283"/>
              <w:jc w:val="left"/>
              <w:rPr/>
            </w:pPr>
            <w:hyperlink w:anchor="item_3_default_upon_senior_securities">
              <w:r>
                <w:rPr>
                  <w:rStyle w:val="InternetLink"/>
                  <w:rFonts w:ascii="Times New Roman" w:hAnsi="Times New Roman"/>
                  <w:color w:val="0000FF"/>
                  <w:sz w:val="24"/>
                  <w:u w:val="single"/>
                </w:rPr>
                <w:t>Default Upon Senior Securities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44</w:t>
            </w:r>
          </w:p>
        </w:tc>
      </w:tr>
      <w:tr>
        <w:trPr/>
        <w:tc>
          <w:tcPr>
            <w:tcW w:w="65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tcMar>
              <w:top w:w="0" w:type="dxa"/>
              <w:left w:w="0" w:type="dxa"/>
              <w:bottom w:w="0" w:type="dxa"/>
              <w:right w:w="0" w:type="dxa"/>
            </w:tcMar>
            <w:vAlign w:val="center"/>
          </w:tcPr>
          <w:p>
            <w:pPr>
              <w:pStyle w:val="TableContents"/>
              <w:bidi w:val="0"/>
              <w:spacing w:before="0" w:after="283"/>
              <w:jc w:val="left"/>
              <w:rPr/>
            </w:pPr>
            <w:r>
              <w:rPr/>
              <w:t> </w:t>
            </w:r>
          </w:p>
        </w:tc>
        <w:tc>
          <w:tcPr>
            <w:tcW w:w="809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65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Item 4.</w:t>
            </w:r>
          </w:p>
        </w:tc>
        <w:tc>
          <w:tcPr>
            <w:tcW w:w="8094" w:type="dxa"/>
            <w:tcBorders/>
            <w:tcMar>
              <w:top w:w="0" w:type="dxa"/>
              <w:left w:w="0" w:type="dxa"/>
              <w:bottom w:w="0" w:type="dxa"/>
              <w:right w:w="0" w:type="dxa"/>
            </w:tcMar>
            <w:vAlign w:val="center"/>
          </w:tcPr>
          <w:p>
            <w:pPr>
              <w:pStyle w:val="TableContents"/>
              <w:bidi w:val="0"/>
              <w:spacing w:before="0" w:after="283"/>
              <w:jc w:val="left"/>
              <w:rPr/>
            </w:pPr>
            <w:hyperlink w:anchor="item_4_mine_safety_disclosures">
              <w:r>
                <w:rPr>
                  <w:rStyle w:val="InternetLink"/>
                  <w:rFonts w:ascii="Times New Roman" w:hAnsi="Times New Roman"/>
                  <w:color w:val="0000FF"/>
                  <w:sz w:val="24"/>
                  <w:u w:val="single"/>
                </w:rPr>
                <w:t>Mine Safety Disclosures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44</w:t>
            </w:r>
          </w:p>
        </w:tc>
      </w:tr>
      <w:tr>
        <w:trPr/>
        <w:tc>
          <w:tcPr>
            <w:tcW w:w="65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tcMar>
              <w:top w:w="0" w:type="dxa"/>
              <w:left w:w="0" w:type="dxa"/>
              <w:bottom w:w="0" w:type="dxa"/>
              <w:right w:w="0" w:type="dxa"/>
            </w:tcMar>
            <w:vAlign w:val="center"/>
          </w:tcPr>
          <w:p>
            <w:pPr>
              <w:pStyle w:val="TableContents"/>
              <w:bidi w:val="0"/>
              <w:spacing w:before="0" w:after="283"/>
              <w:jc w:val="left"/>
              <w:rPr/>
            </w:pPr>
            <w:r>
              <w:rPr/>
              <w:t> </w:t>
            </w:r>
          </w:p>
        </w:tc>
        <w:tc>
          <w:tcPr>
            <w:tcW w:w="809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65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Item 5.</w:t>
            </w:r>
          </w:p>
        </w:tc>
        <w:tc>
          <w:tcPr>
            <w:tcW w:w="8094" w:type="dxa"/>
            <w:tcBorders/>
            <w:tcMar>
              <w:top w:w="0" w:type="dxa"/>
              <w:left w:w="0" w:type="dxa"/>
              <w:bottom w:w="0" w:type="dxa"/>
              <w:right w:w="0" w:type="dxa"/>
            </w:tcMar>
            <w:vAlign w:val="center"/>
          </w:tcPr>
          <w:p>
            <w:pPr>
              <w:pStyle w:val="TableContents"/>
              <w:bidi w:val="0"/>
              <w:spacing w:before="0" w:after="283"/>
              <w:jc w:val="left"/>
              <w:rPr/>
            </w:pPr>
            <w:hyperlink w:anchor="item_5_or_information">
              <w:r>
                <w:rPr>
                  <w:rStyle w:val="InternetLink"/>
                  <w:rFonts w:ascii="Times New Roman" w:hAnsi="Times New Roman"/>
                  <w:color w:val="0000FF"/>
                  <w:sz w:val="24"/>
                  <w:u w:val="single"/>
                </w:rPr>
                <w:t>Other Information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44</w:t>
            </w:r>
          </w:p>
        </w:tc>
      </w:tr>
      <w:tr>
        <w:trPr/>
        <w:tc>
          <w:tcPr>
            <w:tcW w:w="65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tcMar>
              <w:top w:w="0" w:type="dxa"/>
              <w:left w:w="0" w:type="dxa"/>
              <w:bottom w:w="0" w:type="dxa"/>
              <w:right w:w="0" w:type="dxa"/>
            </w:tcMar>
            <w:vAlign w:val="center"/>
          </w:tcPr>
          <w:p>
            <w:pPr>
              <w:pStyle w:val="TableContents"/>
              <w:bidi w:val="0"/>
              <w:spacing w:before="0" w:after="283"/>
              <w:jc w:val="left"/>
              <w:rPr/>
            </w:pPr>
            <w:r>
              <w:rPr/>
              <w:t> </w:t>
            </w:r>
          </w:p>
        </w:tc>
        <w:tc>
          <w:tcPr>
            <w:tcW w:w="809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65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Item 6.</w:t>
            </w:r>
          </w:p>
        </w:tc>
        <w:tc>
          <w:tcPr>
            <w:tcW w:w="8094" w:type="dxa"/>
            <w:tcBorders/>
            <w:tcMar>
              <w:top w:w="0" w:type="dxa"/>
              <w:left w:w="0" w:type="dxa"/>
              <w:bottom w:w="0" w:type="dxa"/>
              <w:right w:w="0" w:type="dxa"/>
            </w:tcMar>
            <w:vAlign w:val="center"/>
          </w:tcPr>
          <w:p>
            <w:pPr>
              <w:pStyle w:val="TableContents"/>
              <w:bidi w:val="0"/>
              <w:spacing w:before="0" w:after="283"/>
              <w:jc w:val="left"/>
              <w:rPr/>
            </w:pPr>
            <w:hyperlink w:anchor="item_6_exhibits">
              <w:r>
                <w:rPr>
                  <w:rStyle w:val="InternetLink"/>
                  <w:rFonts w:ascii="Times New Roman" w:hAnsi="Times New Roman"/>
                  <w:color w:val="0000FF"/>
                  <w:sz w:val="24"/>
                  <w:u w:val="single"/>
                </w:rPr>
                <w:t>Exhibits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45</w:t>
            </w:r>
          </w:p>
        </w:tc>
      </w:tr>
    </w:tbl>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b/>
          <w:color w:val="000000"/>
          <w:sz w:val="24"/>
        </w:rPr>
      </w:pPr>
      <w:bookmarkStart w:id="3" w:name="part_ifinancial_information"/>
      <w:bookmarkEnd w:id="3"/>
      <w:r>
        <w:rPr>
          <w:rFonts w:ascii="Times New Roman" w:hAnsi="Times New Roman"/>
          <w:b/>
          <w:color w:val="000000"/>
          <w:sz w:val="24"/>
        </w:rPr>
        <w:t>PART I—FINANCIAL INFORMATION</w:t>
      </w:r>
    </w:p>
    <w:p>
      <w:pPr>
        <w:pStyle w:val="TextBody"/>
        <w:bidi w:val="0"/>
        <w:jc w:val="both"/>
        <w:rPr>
          <w:rFonts w:ascii="Times New Roman" w:hAnsi="Times New Roman"/>
          <w:b/>
          <w:color w:val="000000"/>
          <w:sz w:val="24"/>
        </w:rPr>
      </w:pPr>
      <w:bookmarkStart w:id="4" w:name="item_1_financial_statements"/>
      <w:bookmarkEnd w:id="4"/>
      <w:r>
        <w:rPr>
          <w:rFonts w:ascii="Times New Roman" w:hAnsi="Times New Roman"/>
          <w:b/>
          <w:color w:val="000000"/>
          <w:sz w:val="24"/>
        </w:rPr>
        <w:t>ITEM 1. FINANCIAL STATEMENTS</w:t>
      </w:r>
    </w:p>
    <w:p>
      <w:pPr>
        <w:pStyle w:val="TextBody"/>
        <w:bidi w:val="0"/>
        <w:spacing w:before="40" w:after="283"/>
        <w:jc w:val="center"/>
        <w:rPr>
          <w:rFonts w:ascii="Times New Roman" w:hAnsi="Times New Roman"/>
          <w:b/>
          <w:color w:val="000000"/>
          <w:sz w:val="24"/>
        </w:rPr>
      </w:pPr>
      <w:r>
        <w:rPr>
          <w:rFonts w:ascii="Times New Roman" w:hAnsi="Times New Roman"/>
          <w:b/>
          <w:color w:val="000000"/>
          <w:sz w:val="24"/>
        </w:rPr>
        <w:t>SEACOR MARINE HOLDINGS INC.</w:t>
      </w:r>
    </w:p>
    <w:p>
      <w:pPr>
        <w:pStyle w:val="TextBody"/>
        <w:bidi w:val="0"/>
        <w:jc w:val="center"/>
        <w:rPr>
          <w:rFonts w:ascii="Times New Roman" w:hAnsi="Times New Roman"/>
          <w:b/>
          <w:color w:val="000000"/>
          <w:sz w:val="24"/>
        </w:rPr>
      </w:pPr>
      <w:bookmarkStart w:id="5" w:name="unaudited_condensed_consolidated_balance"/>
      <w:bookmarkEnd w:id="5"/>
      <w:r>
        <w:rPr>
          <w:rFonts w:ascii="Times New Roman" w:hAnsi="Times New Roman"/>
          <w:b/>
          <w:color w:val="000000"/>
          <w:sz w:val="24"/>
        </w:rPr>
        <w:t>UNAUDITED CONDENSED CONSOLIDATED BALANCE SHEETS</w:t>
      </w:r>
    </w:p>
    <w:p>
      <w:pPr>
        <w:pStyle w:val="TextBody"/>
        <w:bidi w:val="0"/>
        <w:jc w:val="center"/>
        <w:rPr>
          <w:rFonts w:ascii="Times New Roman" w:hAnsi="Times New Roman"/>
          <w:b/>
          <w:color w:val="000000"/>
          <w:sz w:val="24"/>
        </w:rPr>
      </w:pPr>
      <w:r>
        <w:rPr>
          <w:rFonts w:ascii="Times New Roman" w:hAnsi="Times New Roman"/>
          <w:b/>
          <w:color w:val="000000"/>
          <w:sz w:val="24"/>
        </w:rPr>
        <w:t>(in thousands, except share data)</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252"/>
        <w:gridCol w:w="146"/>
        <w:gridCol w:w="199"/>
        <w:gridCol w:w="697"/>
        <w:gridCol w:w="151"/>
        <w:gridCol w:w="146"/>
        <w:gridCol w:w="245"/>
        <w:gridCol w:w="855"/>
        <w:gridCol w:w="514"/>
      </w:tblGrid>
      <w:tr>
        <w:trPr/>
        <w:tc>
          <w:tcPr>
            <w:tcW w:w="725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r>
      <w:tr>
        <w:trPr/>
        <w:tc>
          <w:tcPr>
            <w:tcW w:w="725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June 30, 2026</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December 31, 2025</w:t>
            </w:r>
          </w:p>
        </w:tc>
        <w:tc>
          <w:tcPr>
            <w:tcW w:w="5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25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0"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14"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2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4"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right"/>
              <w:rPr/>
            </w:pPr>
            <w:r>
              <w:rPr/>
              <w:t> </w:t>
            </w:r>
          </w:p>
        </w:tc>
      </w:tr>
      <w:tr>
        <w:trPr/>
        <w:tc>
          <w:tcPr>
            <w:tcW w:w="7252"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55,397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8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68,934</w:t>
            </w:r>
          </w:p>
        </w:tc>
        <w:tc>
          <w:tcPr>
            <w:tcW w:w="514"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7252"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37,643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24,182</w:t>
            </w:r>
          </w:p>
        </w:tc>
        <w:tc>
          <w:tcPr>
            <w:tcW w:w="514"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7252"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Receivables: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4" w:type="dxa"/>
            <w:tcBorders/>
            <w:shd w:fill="CFF0FC" w:val="clear"/>
            <w:tcMar>
              <w:top w:w="0" w:type="dxa"/>
              <w:left w:w="0" w:type="dxa"/>
              <w:bottom w:w="0" w:type="dxa"/>
              <w:right w:w="0" w:type="dxa"/>
            </w:tcMar>
            <w:vAlign w:val="center"/>
          </w:tcPr>
          <w:p>
            <w:pPr>
              <w:pStyle w:val="TableContents"/>
              <w:bidi w:val="0"/>
              <w:spacing w:before="0" w:after="283"/>
              <w:ind w:left="0" w:right="0" w:firstLine="320"/>
              <w:jc w:val="right"/>
              <w:rPr/>
            </w:pPr>
            <w:r>
              <w:rPr/>
              <w:t> </w:t>
            </w:r>
          </w:p>
        </w:tc>
      </w:tr>
      <w:tr>
        <w:trPr/>
        <w:tc>
          <w:tcPr>
            <w:tcW w:w="7252"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left"/>
              <w:rPr>
                <w:rFonts w:ascii="Times New Roman" w:hAnsi="Times New Roman"/>
                <w:sz w:val="20"/>
              </w:rPr>
            </w:pPr>
            <w:r>
              <w:rPr>
                <w:rFonts w:ascii="Times New Roman" w:hAnsi="Times New Roman"/>
                <w:color w:val="000000"/>
                <w:sz w:val="14"/>
              </w:rPr>
              <w:t>Trade, net of allowance for credit loss of $4,260</w:t>
            </w:r>
            <w:r>
              <w:rPr>
                <w:rFonts w:ascii="Times New Roman" w:hAnsi="Times New Roman"/>
                <w:color w:val="000000"/>
                <w:sz w:val="20"/>
              </w:rPr>
              <w:t> </w:t>
            </w:r>
            <w:r>
              <w:rPr>
                <w:rFonts w:ascii="Times New Roman" w:hAnsi="Times New Roman"/>
                <w:color w:val="000000"/>
                <w:sz w:val="14"/>
              </w:rPr>
              <w:t>and $4,135</w:t>
            </w:r>
            <w:r>
              <w:rPr>
                <w:rFonts w:ascii="Times New Roman" w:hAnsi="Times New Roman"/>
                <w:color w:val="000000"/>
                <w:sz w:val="20"/>
              </w:rPr>
              <w:t> </w:t>
            </w:r>
            <w:r>
              <w:rPr>
                <w:rFonts w:ascii="Times New Roman" w:hAnsi="Times New Roman"/>
                <w:color w:val="000000"/>
                <w:sz w:val="14"/>
              </w:rPr>
              <w:t>as of June 30, 2026 and December 31, 2025,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61,955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64,522</w:t>
            </w:r>
          </w:p>
        </w:tc>
        <w:tc>
          <w:tcPr>
            <w:tcW w:w="514"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left"/>
              <w:rPr/>
            </w:pPr>
            <w:r>
              <w:rPr/>
              <w:t> </w:t>
            </w:r>
          </w:p>
        </w:tc>
      </w:tr>
      <w:tr>
        <w:trPr/>
        <w:tc>
          <w:tcPr>
            <w:tcW w:w="7252" w:type="dxa"/>
            <w:tcBorders/>
            <w:shd w:fill="CFF0FC" w:val="clear"/>
            <w:tcMar>
              <w:top w:w="0" w:type="dxa"/>
              <w:left w:w="0" w:type="dxa"/>
              <w:bottom w:w="0" w:type="dxa"/>
              <w:right w:w="0" w:type="dxa"/>
            </w:tcMar>
            <w:vAlign w:val="center"/>
          </w:tcPr>
          <w:p>
            <w:pPr>
              <w:pStyle w:val="TableContents"/>
              <w:bidi w:val="0"/>
              <w:spacing w:before="0" w:after="283"/>
              <w:ind w:left="0" w:right="0" w:firstLine="320"/>
              <w:jc w:val="left"/>
              <w:rPr>
                <w:rFonts w:ascii="Times New Roman" w:hAnsi="Times New Roman"/>
                <w:color w:val="000000"/>
                <w:sz w:val="14"/>
              </w:rPr>
            </w:pPr>
            <w:r>
              <w:rPr>
                <w:rFonts w:ascii="Times New Roman" w:hAnsi="Times New Roman"/>
                <w:color w:val="000000"/>
                <w:sz w:val="14"/>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5,857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3,965</w:t>
            </w:r>
          </w:p>
        </w:tc>
        <w:tc>
          <w:tcPr>
            <w:tcW w:w="514"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7252"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Inventories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2,061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2,196</w:t>
            </w:r>
          </w:p>
        </w:tc>
        <w:tc>
          <w:tcPr>
            <w:tcW w:w="514"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7252"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Prepaid expenses and 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5,407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5,173</w:t>
            </w:r>
          </w:p>
        </w:tc>
        <w:tc>
          <w:tcPr>
            <w:tcW w:w="514"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7252"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Assets held for sale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10,812</w:t>
            </w:r>
          </w:p>
        </w:tc>
        <w:tc>
          <w:tcPr>
            <w:tcW w:w="51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20"/>
              <w:jc w:val="left"/>
              <w:rPr/>
            </w:pPr>
            <w:r>
              <w:rPr/>
              <w:t> </w:t>
            </w:r>
          </w:p>
        </w:tc>
      </w:tr>
      <w:tr>
        <w:trPr/>
        <w:tc>
          <w:tcPr>
            <w:tcW w:w="7252" w:type="dxa"/>
            <w:tcBorders/>
            <w:shd w:fill="CFF0FC" w:val="clear"/>
            <w:tcMar>
              <w:top w:w="0" w:type="dxa"/>
              <w:left w:w="0" w:type="dxa"/>
              <w:bottom w:w="0" w:type="dxa"/>
              <w:right w:w="0" w:type="dxa"/>
            </w:tcMar>
            <w:vAlign w:val="center"/>
          </w:tcPr>
          <w:p>
            <w:pPr>
              <w:pStyle w:val="TableContents"/>
              <w:bidi w:val="0"/>
              <w:spacing w:before="0" w:after="283"/>
              <w:ind w:left="0" w:right="0" w:firstLine="320"/>
              <w:jc w:val="left"/>
              <w:rPr>
                <w:rFonts w:ascii="Times New Roman" w:hAnsi="Times New Roman"/>
                <w:color w:val="000000"/>
                <w:sz w:val="14"/>
              </w:rPr>
            </w:pPr>
            <w:r>
              <w:rPr>
                <w:rFonts w:ascii="Times New Roman" w:hAnsi="Times New Roman"/>
                <w:color w:val="000000"/>
                <w:sz w:val="14"/>
              </w:rPr>
              <w:t>Total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168,320</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179,784</w:t>
            </w:r>
          </w:p>
        </w:tc>
        <w:tc>
          <w:tcPr>
            <w:tcW w:w="5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2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4"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right"/>
              <w:rPr/>
            </w:pPr>
            <w:r>
              <w:rPr/>
              <w:t> </w:t>
            </w:r>
          </w:p>
        </w:tc>
      </w:tr>
      <w:tr>
        <w:trPr/>
        <w:tc>
          <w:tcPr>
            <w:tcW w:w="7252"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Historical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754,369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776,833</w:t>
            </w:r>
          </w:p>
        </w:tc>
        <w:tc>
          <w:tcPr>
            <w:tcW w:w="514"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7252"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Accumulated depreciation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(351,840</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(348,812</w:t>
            </w:r>
          </w:p>
        </w:tc>
        <w:tc>
          <w:tcPr>
            <w:tcW w:w="5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725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402,529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428,021</w:t>
            </w:r>
          </w:p>
        </w:tc>
        <w:tc>
          <w:tcPr>
            <w:tcW w:w="514"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7252"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Construction in progress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56,594</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47,002</w:t>
            </w:r>
          </w:p>
        </w:tc>
        <w:tc>
          <w:tcPr>
            <w:tcW w:w="51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60"/>
              <w:jc w:val="left"/>
              <w:rPr/>
            </w:pPr>
            <w:r>
              <w:rPr/>
              <w:t> </w:t>
            </w:r>
          </w:p>
        </w:tc>
      </w:tr>
      <w:tr>
        <w:trPr/>
        <w:tc>
          <w:tcPr>
            <w:tcW w:w="7252"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Net 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459,123</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475,023</w:t>
            </w:r>
          </w:p>
        </w:tc>
        <w:tc>
          <w:tcPr>
            <w:tcW w:w="5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2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Right-of-use asset - operating 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933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982</w:t>
            </w:r>
          </w:p>
        </w:tc>
        <w:tc>
          <w:tcPr>
            <w:tcW w:w="5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Right-of-use asset - finance leases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w:t>
            </w:r>
          </w:p>
        </w:tc>
        <w:tc>
          <w:tcPr>
            <w:tcW w:w="5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Investments, at equity, and advances to 50% or less owned companies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3,009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2,938</w:t>
            </w:r>
          </w:p>
        </w:tc>
        <w:tc>
          <w:tcPr>
            <w:tcW w:w="5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1,925</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1,855</w:t>
            </w:r>
          </w:p>
        </w:tc>
        <w:tc>
          <w:tcPr>
            <w:tcW w:w="51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20"/>
              <w:jc w:val="left"/>
              <w:rPr/>
            </w:pPr>
            <w:r>
              <w:rPr/>
              <w:t> </w:t>
            </w:r>
          </w:p>
        </w:tc>
      </w:tr>
      <w:tr>
        <w:trPr/>
        <w:tc>
          <w:tcPr>
            <w:tcW w:w="7252"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left"/>
              <w:rPr>
                <w:rFonts w:ascii="Times New Roman" w:hAnsi="Times New Roman"/>
                <w:color w:val="000000"/>
                <w:sz w:val="14"/>
              </w:rPr>
            </w:pPr>
            <w:r>
              <w:rPr>
                <w:rFonts w:ascii="Times New Roman" w:hAnsi="Times New Roman"/>
                <w:color w:val="000000"/>
                <w:sz w:val="14"/>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633,324</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8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660,601</w:t>
            </w:r>
          </w:p>
        </w:tc>
        <w:tc>
          <w:tcPr>
            <w:tcW w:w="5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25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LIABILITIES AND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2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4"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right"/>
              <w:rPr/>
            </w:pPr>
            <w:r>
              <w:rPr/>
              <w:t> </w:t>
            </w:r>
          </w:p>
        </w:tc>
      </w:tr>
      <w:tr>
        <w:trPr/>
        <w:tc>
          <w:tcPr>
            <w:tcW w:w="7252"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Current portion of 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549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8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405</w:t>
            </w:r>
          </w:p>
        </w:tc>
        <w:tc>
          <w:tcPr>
            <w:tcW w:w="514"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7252"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Current portion of finance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w:t>
            </w:r>
          </w:p>
        </w:tc>
        <w:tc>
          <w:tcPr>
            <w:tcW w:w="514"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7252"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Current portion of long-term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30,699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30,000</w:t>
            </w:r>
          </w:p>
        </w:tc>
        <w:tc>
          <w:tcPr>
            <w:tcW w:w="514"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7252"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14,229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21,268</w:t>
            </w:r>
          </w:p>
        </w:tc>
        <w:tc>
          <w:tcPr>
            <w:tcW w:w="514"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7252"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Accrued wages and benefits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2,772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5,357</w:t>
            </w:r>
          </w:p>
        </w:tc>
        <w:tc>
          <w:tcPr>
            <w:tcW w:w="514"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7252"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Accrued capital, repair and maintenance expenditures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10,269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2,870</w:t>
            </w:r>
          </w:p>
        </w:tc>
        <w:tc>
          <w:tcPr>
            <w:tcW w:w="514"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7252"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Unearned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639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1,096</w:t>
            </w:r>
          </w:p>
        </w:tc>
        <w:tc>
          <w:tcPr>
            <w:tcW w:w="514"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7252"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Accrued insurance deductibles and premiums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3,703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3,371</w:t>
            </w:r>
          </w:p>
        </w:tc>
        <w:tc>
          <w:tcPr>
            <w:tcW w:w="514"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7252"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7,896</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6,350</w:t>
            </w:r>
          </w:p>
        </w:tc>
        <w:tc>
          <w:tcPr>
            <w:tcW w:w="51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20"/>
              <w:jc w:val="left"/>
              <w:rPr/>
            </w:pPr>
            <w:r>
              <w:rPr/>
              <w:t> </w:t>
            </w:r>
          </w:p>
        </w:tc>
      </w:tr>
      <w:tr>
        <w:trPr/>
        <w:tc>
          <w:tcPr>
            <w:tcW w:w="7252"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left"/>
              <w:rPr>
                <w:rFonts w:ascii="Times New Roman" w:hAnsi="Times New Roman"/>
                <w:color w:val="000000"/>
                <w:sz w:val="14"/>
              </w:rPr>
            </w:pPr>
            <w:r>
              <w:rPr>
                <w:rFonts w:ascii="Times New Roman" w:hAnsi="Times New Roman"/>
                <w:color w:val="000000"/>
                <w:sz w:val="14"/>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70,768</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70,729</w:t>
            </w:r>
          </w:p>
        </w:tc>
        <w:tc>
          <w:tcPr>
            <w:tcW w:w="5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2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Long-term 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559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607</w:t>
            </w:r>
          </w:p>
        </w:tc>
        <w:tc>
          <w:tcPr>
            <w:tcW w:w="5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Long-term finance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w:t>
            </w:r>
          </w:p>
        </w:tc>
        <w:tc>
          <w:tcPr>
            <w:tcW w:w="5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Long-term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289,503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304,644</w:t>
            </w:r>
          </w:p>
        </w:tc>
        <w:tc>
          <w:tcPr>
            <w:tcW w:w="5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Deferred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19,580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19,376</w:t>
            </w:r>
          </w:p>
        </w:tc>
        <w:tc>
          <w:tcPr>
            <w:tcW w:w="5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Deferred gains and other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599</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565</w:t>
            </w:r>
          </w:p>
        </w:tc>
        <w:tc>
          <w:tcPr>
            <w:tcW w:w="51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20"/>
              <w:jc w:val="left"/>
              <w:rPr/>
            </w:pPr>
            <w:r>
              <w:rPr/>
              <w:t> </w:t>
            </w:r>
          </w:p>
        </w:tc>
      </w:tr>
      <w:tr>
        <w:trPr/>
        <w:tc>
          <w:tcPr>
            <w:tcW w:w="7252"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left"/>
              <w:rPr>
                <w:rFonts w:ascii="Times New Roman" w:hAnsi="Times New Roman"/>
                <w:color w:val="000000"/>
                <w:sz w:val="14"/>
              </w:rPr>
            </w:pPr>
            <w:r>
              <w:rPr>
                <w:rFonts w:ascii="Times New Roman" w:hAnsi="Times New Roman"/>
                <w:color w:val="000000"/>
                <w:sz w:val="14"/>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381,012</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395,929</w:t>
            </w:r>
          </w:p>
        </w:tc>
        <w:tc>
          <w:tcPr>
            <w:tcW w:w="5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2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4"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right"/>
              <w:rPr/>
            </w:pPr>
            <w:r>
              <w:rPr/>
              <w:t> </w:t>
            </w:r>
          </w:p>
        </w:tc>
      </w:tr>
      <w:tr>
        <w:trPr/>
        <w:tc>
          <w:tcPr>
            <w:tcW w:w="7252"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SEACOR Marine Holdings Inc.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4"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right"/>
              <w:rPr/>
            </w:pPr>
            <w:r>
              <w:rPr/>
              <w:t> </w:t>
            </w:r>
          </w:p>
        </w:tc>
      </w:tr>
      <w:tr>
        <w:trPr/>
        <w:tc>
          <w:tcPr>
            <w:tcW w:w="7252"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4"/>
              </w:rPr>
              <w:t>Common stock, $.01</w:t>
            </w:r>
            <w:r>
              <w:rPr>
                <w:rFonts w:ascii="Times New Roman" w:hAnsi="Times New Roman"/>
                <w:color w:val="000000"/>
                <w:sz w:val="20"/>
              </w:rPr>
              <w:t> </w:t>
            </w:r>
            <w:r>
              <w:rPr>
                <w:rFonts w:ascii="Times New Roman" w:hAnsi="Times New Roman"/>
                <w:color w:val="000000"/>
                <w:sz w:val="14"/>
              </w:rPr>
              <w:t>par value, 60,000,000</w:t>
            </w:r>
            <w:r>
              <w:rPr>
                <w:rFonts w:ascii="Times New Roman" w:hAnsi="Times New Roman"/>
                <w:color w:val="000000"/>
                <w:sz w:val="20"/>
              </w:rPr>
              <w:t> </w:t>
            </w:r>
            <w:r>
              <w:rPr>
                <w:rFonts w:ascii="Times New Roman" w:hAnsi="Times New Roman"/>
                <w:color w:val="000000"/>
                <w:sz w:val="14"/>
              </w:rPr>
              <w:t>shares authorized; 28,463,971</w:t>
            </w:r>
            <w:r>
              <w:rPr>
                <w:rFonts w:ascii="Times New Roman" w:hAnsi="Times New Roman"/>
                <w:color w:val="000000"/>
                <w:sz w:val="20"/>
              </w:rPr>
              <w:t> </w:t>
            </w:r>
            <w:r>
              <w:rPr>
                <w:rFonts w:ascii="Times New Roman" w:hAnsi="Times New Roman"/>
                <w:color w:val="000000"/>
                <w:sz w:val="14"/>
              </w:rPr>
              <w:t>and 28,049,242</w:t>
            </w:r>
            <w:r>
              <w:rPr>
                <w:rFonts w:ascii="Times New Roman" w:hAnsi="Times New Roman"/>
                <w:color w:val="000000"/>
                <w:sz w:val="20"/>
              </w:rPr>
              <w:t> </w:t>
            </w:r>
            <w:r>
              <w:rPr>
                <w:rFonts w:ascii="Times New Roman" w:hAnsi="Times New Roman"/>
                <w:color w:val="000000"/>
                <w:sz w:val="14"/>
              </w:rPr>
              <w:t>shares issued as of June 30, 2026 and December 31, 2025,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284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280</w:t>
            </w:r>
          </w:p>
        </w:tc>
        <w:tc>
          <w:tcPr>
            <w:tcW w:w="514"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7252"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Additional paid-in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474,395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471,862</w:t>
            </w:r>
          </w:p>
        </w:tc>
        <w:tc>
          <w:tcPr>
            <w:tcW w:w="514"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7252"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Accumulated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(220,956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(208,444</w:t>
            </w:r>
          </w:p>
        </w:tc>
        <w:tc>
          <w:tcPr>
            <w:tcW w:w="514"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w:t>
            </w:r>
          </w:p>
        </w:tc>
      </w:tr>
      <w:tr>
        <w:trPr/>
        <w:tc>
          <w:tcPr>
            <w:tcW w:w="7252"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4"/>
              </w:rPr>
              <w:t>Shares held in treasury of 1,331,145</w:t>
            </w:r>
            <w:r>
              <w:rPr>
                <w:rFonts w:ascii="Times New Roman" w:hAnsi="Times New Roman"/>
                <w:color w:val="000000"/>
                <w:sz w:val="20"/>
              </w:rPr>
              <w:t> </w:t>
            </w:r>
            <w:r>
              <w:rPr>
                <w:rFonts w:ascii="Times New Roman" w:hAnsi="Times New Roman"/>
                <w:color w:val="000000"/>
                <w:sz w:val="14"/>
              </w:rPr>
              <w:t>and 1,097,456</w:t>
            </w:r>
            <w:r>
              <w:rPr>
                <w:rFonts w:ascii="Times New Roman" w:hAnsi="Times New Roman"/>
                <w:color w:val="000000"/>
                <w:sz w:val="20"/>
              </w:rPr>
              <w:t> </w:t>
            </w:r>
            <w:r>
              <w:rPr>
                <w:rFonts w:ascii="Times New Roman" w:hAnsi="Times New Roman"/>
                <w:color w:val="000000"/>
                <w:sz w:val="14"/>
              </w:rPr>
              <w:t>as of June 30, 2026 and December 31, 2025, respectively, at cost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(11,470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(9,691</w:t>
            </w:r>
          </w:p>
        </w:tc>
        <w:tc>
          <w:tcPr>
            <w:tcW w:w="514"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w:t>
            </w:r>
          </w:p>
        </w:tc>
      </w:tr>
      <w:tr>
        <w:trPr/>
        <w:tc>
          <w:tcPr>
            <w:tcW w:w="7252"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Accumulated other comprehensive income, net of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9,738</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10,344</w:t>
            </w:r>
          </w:p>
        </w:tc>
        <w:tc>
          <w:tcPr>
            <w:tcW w:w="5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251,991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264,351</w:t>
            </w:r>
          </w:p>
        </w:tc>
        <w:tc>
          <w:tcPr>
            <w:tcW w:w="5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Noncontrolling interests in subsidiaries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321</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321</w:t>
            </w:r>
          </w:p>
        </w:tc>
        <w:tc>
          <w:tcPr>
            <w:tcW w:w="51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20"/>
              <w:jc w:val="left"/>
              <w:rPr/>
            </w:pPr>
            <w:r>
              <w:rPr/>
              <w:t> </w:t>
            </w:r>
          </w:p>
        </w:tc>
      </w:tr>
      <w:tr>
        <w:trPr/>
        <w:tc>
          <w:tcPr>
            <w:tcW w:w="7252"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left"/>
              <w:rPr>
                <w:rFonts w:ascii="Times New Roman" w:hAnsi="Times New Roman"/>
                <w:color w:val="000000"/>
                <w:sz w:val="14"/>
              </w:rPr>
            </w:pPr>
            <w:r>
              <w:rPr>
                <w:rFonts w:ascii="Times New Roman" w:hAnsi="Times New Roman"/>
                <w:color w:val="000000"/>
                <w:sz w:val="14"/>
              </w:rPr>
              <w:t>Total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252,312</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264,672</w:t>
            </w:r>
          </w:p>
        </w:tc>
        <w:tc>
          <w:tcPr>
            <w:tcW w:w="51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20"/>
              <w:jc w:val="left"/>
              <w:rPr/>
            </w:pPr>
            <w:r>
              <w:rPr/>
              <w:t> </w:t>
            </w:r>
          </w:p>
        </w:tc>
      </w:tr>
      <w:tr>
        <w:trPr/>
        <w:tc>
          <w:tcPr>
            <w:tcW w:w="7252" w:type="dxa"/>
            <w:tcBorders/>
            <w:shd w:fill="CFF0FC" w:val="clear"/>
            <w:tcMar>
              <w:top w:w="0" w:type="dxa"/>
              <w:left w:w="0" w:type="dxa"/>
              <w:bottom w:w="0" w:type="dxa"/>
              <w:right w:w="0" w:type="dxa"/>
            </w:tcMar>
            <w:vAlign w:val="center"/>
          </w:tcPr>
          <w:p>
            <w:pPr>
              <w:pStyle w:val="TableContents"/>
              <w:bidi w:val="0"/>
              <w:spacing w:before="0" w:after="283"/>
              <w:ind w:left="0" w:right="0" w:firstLine="320"/>
              <w:jc w:val="left"/>
              <w:rPr>
                <w:rFonts w:ascii="Times New Roman" w:hAnsi="Times New Roman"/>
                <w:color w:val="000000"/>
                <w:sz w:val="14"/>
              </w:rPr>
            </w:pPr>
            <w:r>
              <w:rPr>
                <w:rFonts w:ascii="Times New Roman" w:hAnsi="Times New Roman"/>
                <w:color w:val="000000"/>
                <w:sz w:val="14"/>
              </w:rPr>
              <w:t>Total liabilities and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633,324</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8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660,601</w:t>
            </w:r>
          </w:p>
        </w:tc>
        <w:tc>
          <w:tcPr>
            <w:tcW w:w="5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120" w:after="283"/>
        <w:jc w:val="center"/>
        <w:rPr>
          <w:rFonts w:ascii="Times New Roman" w:hAnsi="Times New Roman"/>
          <w:sz w:val="20"/>
        </w:rPr>
      </w:pPr>
      <w:r>
        <w:rPr>
          <w:rFonts w:ascii="Times New Roman" w:hAnsi="Times New Roman"/>
          <w:color w:val="000000"/>
          <w:sz w:val="16"/>
        </w:rPr>
        <w:t>The accompanying notes are an integral part of these condensed consolidated financial statements and should be read in conjunction herewith.</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Times New Roman" w:hAnsi="Times New Roman"/>
          <w:color w:val="000000"/>
          <w:sz w:val="24"/>
        </w:rPr>
      </w:pPr>
      <w:r>
        <w:rPr>
          <w:rFonts w:ascii="Times New Roman" w:hAnsi="Times New Roman"/>
          <w:color w:val="000000"/>
          <w:sz w:val="24"/>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SEACOR MARINE HOLDINGS INC.</w:t>
      </w:r>
    </w:p>
    <w:p>
      <w:pPr>
        <w:pStyle w:val="TextBody"/>
        <w:bidi w:val="0"/>
        <w:jc w:val="center"/>
        <w:rPr>
          <w:rFonts w:ascii="Times New Roman" w:hAnsi="Times New Roman"/>
          <w:b/>
          <w:color w:val="000000"/>
          <w:sz w:val="24"/>
        </w:rPr>
      </w:pPr>
      <w:bookmarkStart w:id="6" w:name="unaudited_condensed_consolidated"/>
      <w:bookmarkEnd w:id="6"/>
      <w:r>
        <w:rPr>
          <w:rFonts w:ascii="Times New Roman" w:hAnsi="Times New Roman"/>
          <w:b/>
          <w:color w:val="000000"/>
          <w:sz w:val="24"/>
        </w:rPr>
        <w:t>UNAUDITED CONDENSED CONSOLIDATED STATEMENTS OF INCOME (LOSS)</w:t>
      </w:r>
    </w:p>
    <w:p>
      <w:pPr>
        <w:pStyle w:val="TextBody"/>
        <w:bidi w:val="0"/>
        <w:jc w:val="center"/>
        <w:rPr>
          <w:rFonts w:ascii="Times New Roman" w:hAnsi="Times New Roman"/>
          <w:b/>
          <w:color w:val="000000"/>
          <w:sz w:val="24"/>
        </w:rPr>
      </w:pPr>
      <w:r>
        <w:rPr>
          <w:rFonts w:ascii="Times New Roman" w:hAnsi="Times New Roman"/>
          <w:b/>
          <w:color w:val="000000"/>
          <w:sz w:val="24"/>
        </w:rPr>
        <w:t>(in thousands, except share data)</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264"/>
        <w:gridCol w:w="146"/>
        <w:gridCol w:w="196"/>
        <w:gridCol w:w="916"/>
        <w:gridCol w:w="166"/>
        <w:gridCol w:w="146"/>
        <w:gridCol w:w="196"/>
        <w:gridCol w:w="916"/>
        <w:gridCol w:w="166"/>
        <w:gridCol w:w="146"/>
        <w:gridCol w:w="196"/>
        <w:gridCol w:w="916"/>
        <w:gridCol w:w="166"/>
        <w:gridCol w:w="146"/>
        <w:gridCol w:w="196"/>
        <w:gridCol w:w="916"/>
        <w:gridCol w:w="411"/>
      </w:tblGrid>
      <w:tr>
        <w:trPr/>
        <w:tc>
          <w:tcPr>
            <w:tcW w:w="426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26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Six Months Ended June 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6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54,630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60,810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98,912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116,309</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2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Costs and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26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Operating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46,684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49,493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84,257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91,421</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Administrative and general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12,343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11,998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22,297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23,484</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6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Lease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662</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10,718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12,090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21,048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24,900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6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70,011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73,906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128,118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140,467</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2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Gains on Asset Dispositions and Impairments,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31,347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19,163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38,795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24,972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15,966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6,067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9,589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814</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2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Income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26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808</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(16,483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(18,430</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426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Derivative gains,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212</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Foreign currency losses,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(3,315</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426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Other,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2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(8,778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(10,504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(16,048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(20,725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2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Income (Loss) Before Income Tax Expense and Equity in Earnings of 50% or Less Owned Companies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(19,911</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2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Income Tax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3,951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2,508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6,159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3,412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Income (Loss) Before Equity in Earnings of 50% or Less Owned Companies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(12,618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(23,323</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2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Equity in Earnings of 50% or Less Owned Companies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1,107</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3,293</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(6,727</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(12,512</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(22,216</w:t>
            </w:r>
          </w:p>
        </w:tc>
        <w:tc>
          <w:tcPr>
            <w:tcW w:w="4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2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Earnings (Loss)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2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(0.83</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426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(0.83</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2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Weighted Average Common Stock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26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26,072,144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25,686,560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25,929,323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26,791,291</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26,353,556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25,686,560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25,929,323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26,791,291</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center"/>
        <w:rPr>
          <w:rFonts w:ascii="Times New Roman" w:hAnsi="Times New Roman"/>
          <w:sz w:val="20"/>
        </w:rPr>
      </w:pPr>
      <w:r>
        <w:rPr>
          <w:rFonts w:ascii="Times New Roman" w:hAnsi="Times New Roman"/>
          <w:color w:val="000000"/>
          <w:sz w:val="16"/>
        </w:rPr>
        <w:t>The accompanying notes are an integral part of these condensed consolidated financial statements and should be read in conjunction herewith.</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Times New Roman" w:hAnsi="Times New Roman"/>
          <w:color w:val="000000"/>
          <w:sz w:val="24"/>
        </w:rPr>
      </w:pPr>
      <w:r>
        <w:rPr>
          <w:rFonts w:ascii="Times New Roman" w:hAnsi="Times New Roman"/>
          <w:color w:val="000000"/>
          <w:sz w:val="24"/>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SEACOR MARINE HOLDINGS INC.</w:t>
      </w:r>
    </w:p>
    <w:p>
      <w:pPr>
        <w:pStyle w:val="TextBody"/>
        <w:bidi w:val="0"/>
        <w:jc w:val="center"/>
        <w:rPr>
          <w:rFonts w:ascii="Times New Roman" w:hAnsi="Times New Roman"/>
          <w:b/>
          <w:color w:val="000000"/>
          <w:sz w:val="24"/>
        </w:rPr>
      </w:pPr>
      <w:bookmarkStart w:id="7" w:name="unaudited_condensed_consolidated_stateme"/>
      <w:bookmarkEnd w:id="7"/>
      <w:r>
        <w:rPr>
          <w:rFonts w:ascii="Times New Roman" w:hAnsi="Times New Roman"/>
          <w:b/>
          <w:color w:val="000000"/>
          <w:sz w:val="24"/>
        </w:rPr>
        <w:t>UNAUDITED CONDENSED CONSOLIDATED STATEMENTS OF COMPREHENSIVE INCOME (LOSS)</w:t>
      </w:r>
    </w:p>
    <w:p>
      <w:pPr>
        <w:pStyle w:val="TextBody"/>
        <w:bidi w:val="0"/>
        <w:jc w:val="center"/>
        <w:rPr>
          <w:rFonts w:ascii="Times New Roman" w:hAnsi="Times New Roman"/>
          <w:b/>
          <w:color w:val="000000"/>
          <w:sz w:val="24"/>
        </w:rPr>
      </w:pPr>
      <w:r>
        <w:rPr>
          <w:rFonts w:ascii="Times New Roman" w:hAnsi="Times New Roman"/>
          <w:b/>
          <w:color w:val="000000"/>
          <w:sz w:val="24"/>
        </w:rPr>
        <w:t>(in thousands)</w:t>
      </w:r>
    </w:p>
    <w:p>
      <w:pPr>
        <w:pStyle w:val="TextBody"/>
        <w:bidi w:val="0"/>
        <w:jc w:val="both"/>
        <w:rPr/>
      </w:pPr>
      <w:r>
        <w:rPr/>
        <w:t> </w:t>
      </w:r>
    </w:p>
    <w:tbl>
      <w:tblPr>
        <w:tblW w:w="7977" w:type="dxa"/>
        <w:jc w:val="left"/>
        <w:tblInd w:w="0" w:type="dxa"/>
        <w:tblLayout w:type="fixed"/>
        <w:tblCellMar>
          <w:top w:w="28" w:type="dxa"/>
          <w:left w:w="28" w:type="dxa"/>
          <w:bottom w:w="28" w:type="dxa"/>
          <w:right w:w="28" w:type="dxa"/>
        </w:tblCellMar>
      </w:tblPr>
      <w:tblGrid>
        <w:gridCol w:w="3336"/>
        <w:gridCol w:w="146"/>
        <w:gridCol w:w="196"/>
        <w:gridCol w:w="511"/>
        <w:gridCol w:w="146"/>
        <w:gridCol w:w="146"/>
        <w:gridCol w:w="196"/>
        <w:gridCol w:w="571"/>
        <w:gridCol w:w="166"/>
        <w:gridCol w:w="146"/>
        <w:gridCol w:w="196"/>
        <w:gridCol w:w="661"/>
        <w:gridCol w:w="166"/>
        <w:gridCol w:w="146"/>
        <w:gridCol w:w="196"/>
        <w:gridCol w:w="661"/>
        <w:gridCol w:w="391"/>
      </w:tblGrid>
      <w:tr>
        <w:trPr/>
        <w:tc>
          <w:tcPr>
            <w:tcW w:w="33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3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Six Months Ended</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3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3,293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(6,727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(12,512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(22,216</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3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Comprehensive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3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Foreign currency translation gains (losses)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3,839</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5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57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2,746</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66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(606</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66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3,839</w:t>
            </w:r>
          </w:p>
        </w:tc>
        <w:tc>
          <w:tcPr>
            <w:tcW w:w="3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r>
        <w:trPr/>
        <w:tc>
          <w:tcPr>
            <w:tcW w:w="33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Comprehensive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3,362</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(3,981</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(13,118</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(18,377</w:t>
            </w:r>
          </w:p>
        </w:tc>
        <w:tc>
          <w:tcPr>
            <w:tcW w:w="39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jc w:val="center"/>
        <w:rPr/>
      </w:pPr>
      <w:r>
        <w:rPr/>
        <w:t> </w:t>
      </w:r>
    </w:p>
    <w:p>
      <w:pPr>
        <w:pStyle w:val="TextBody"/>
        <w:bidi w:val="0"/>
        <w:spacing w:before="120" w:after="283"/>
        <w:jc w:val="center"/>
        <w:rPr>
          <w:rFonts w:ascii="Times New Roman" w:hAnsi="Times New Roman"/>
          <w:sz w:val="20"/>
        </w:rPr>
      </w:pPr>
      <w:r>
        <w:rPr>
          <w:rFonts w:ascii="Times New Roman" w:hAnsi="Times New Roman"/>
          <w:color w:val="000000"/>
          <w:sz w:val="16"/>
        </w:rPr>
        <w:t>The accompanying notes are an integral part of these condensed consolidated financial statements and should be read in conjunction herewith.</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Times New Roman" w:hAnsi="Times New Roman"/>
          <w:color w:val="000000"/>
          <w:sz w:val="24"/>
        </w:rPr>
      </w:pPr>
      <w:r>
        <w:rPr>
          <w:rFonts w:ascii="Times New Roman" w:hAnsi="Times New Roman"/>
          <w:color w:val="000000"/>
          <w:sz w:val="24"/>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SEACOR MARINE HOLDINGS INC.</w:t>
      </w:r>
    </w:p>
    <w:p>
      <w:pPr>
        <w:pStyle w:val="TextBody"/>
        <w:bidi w:val="0"/>
        <w:jc w:val="center"/>
        <w:rPr>
          <w:rFonts w:ascii="Times New Roman" w:hAnsi="Times New Roman"/>
          <w:sz w:val="20"/>
        </w:rPr>
      </w:pPr>
      <w:bookmarkStart w:id="8" w:name="unaudited_condensed_equity"/>
      <w:bookmarkEnd w:id="8"/>
      <w:r>
        <w:rPr>
          <w:rFonts w:ascii="Times New Roman" w:hAnsi="Times New Roman"/>
          <w:b/>
          <w:color w:val="000000"/>
          <w:sz w:val="24"/>
        </w:rPr>
        <w:t>UNAUDITED CONDENSED CONSOLIDATED</w:t>
      </w:r>
      <w:r>
        <w:rPr>
          <w:rFonts w:ascii="Times New Roman" w:hAnsi="Times New Roman"/>
          <w:color w:val="000000"/>
          <w:sz w:val="20"/>
        </w:rPr>
        <w:t xml:space="preserve"> </w:t>
      </w:r>
      <w:r>
        <w:rPr>
          <w:rFonts w:ascii="Times New Roman" w:hAnsi="Times New Roman"/>
          <w:b/>
          <w:color w:val="000000"/>
          <w:sz w:val="24"/>
        </w:rPr>
        <w:t>STATEMENTS OF CHANGES IN EQUITY</w:t>
      </w:r>
    </w:p>
    <w:p>
      <w:pPr>
        <w:pStyle w:val="TextBody"/>
        <w:bidi w:val="0"/>
        <w:jc w:val="center"/>
        <w:rPr>
          <w:rFonts w:ascii="Times New Roman" w:hAnsi="Times New Roman"/>
          <w:b/>
          <w:color w:val="000000"/>
          <w:sz w:val="24"/>
        </w:rPr>
      </w:pPr>
      <w:r>
        <w:rPr>
          <w:rFonts w:ascii="Times New Roman" w:hAnsi="Times New Roman"/>
          <w:b/>
          <w:color w:val="000000"/>
          <w:sz w:val="24"/>
        </w:rPr>
        <w:t>(in thousands, except share data)</w:t>
      </w:r>
    </w:p>
    <w:p>
      <w:pPr>
        <w:pStyle w:val="TextBody"/>
        <w:bidi w:val="0"/>
        <w:jc w:val="left"/>
        <w:rPr/>
      </w:pPr>
      <w:r>
        <w:rPr/>
        <w:t> </w:t>
      </w:r>
    </w:p>
    <w:tbl>
      <w:tblPr>
        <w:tblW w:w="11408" w:type="dxa"/>
        <w:jc w:val="left"/>
        <w:tblInd w:w="0" w:type="dxa"/>
        <w:tblLayout w:type="fixed"/>
        <w:tblCellMar>
          <w:top w:w="28" w:type="dxa"/>
          <w:left w:w="28" w:type="dxa"/>
          <w:bottom w:w="28" w:type="dxa"/>
          <w:right w:w="28" w:type="dxa"/>
        </w:tblCellMar>
      </w:tblPr>
      <w:tblGrid>
        <w:gridCol w:w="1151"/>
        <w:gridCol w:w="146"/>
        <w:gridCol w:w="146"/>
        <w:gridCol w:w="766"/>
        <w:gridCol w:w="151"/>
        <w:gridCol w:w="146"/>
        <w:gridCol w:w="216"/>
        <w:gridCol w:w="415"/>
        <w:gridCol w:w="146"/>
        <w:gridCol w:w="146"/>
        <w:gridCol w:w="181"/>
        <w:gridCol w:w="586"/>
        <w:gridCol w:w="146"/>
        <w:gridCol w:w="146"/>
        <w:gridCol w:w="146"/>
        <w:gridCol w:w="691"/>
        <w:gridCol w:w="146"/>
        <w:gridCol w:w="146"/>
        <w:gridCol w:w="181"/>
        <w:gridCol w:w="556"/>
        <w:gridCol w:w="151"/>
        <w:gridCol w:w="146"/>
        <w:gridCol w:w="194"/>
        <w:gridCol w:w="677"/>
        <w:gridCol w:w="151"/>
        <w:gridCol w:w="146"/>
        <w:gridCol w:w="267"/>
        <w:gridCol w:w="754"/>
        <w:gridCol w:w="151"/>
        <w:gridCol w:w="146"/>
        <w:gridCol w:w="293"/>
        <w:gridCol w:w="563"/>
        <w:gridCol w:w="146"/>
        <w:gridCol w:w="146"/>
        <w:gridCol w:w="181"/>
        <w:gridCol w:w="586"/>
        <w:gridCol w:w="356"/>
      </w:tblGrid>
      <w:tr>
        <w:trPr/>
        <w:tc>
          <w:tcPr>
            <w:tcW w:w="1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r>
      <w:tr>
        <w:trPr/>
        <w:tc>
          <w:tcPr>
            <w:tcW w:w="1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Shares of</w:t>
              <w:br/>
              <w:t>Common</w:t>
              <w:br/>
              <w:t>Stock</w:t>
              <w:br/>
              <w:t>Outstanding</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Common</w:t>
              <w:br/>
              <w:t>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Additional</w:t>
              <w:br/>
              <w:t>Paid-In</w:t>
              <w:b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Shares</w:t>
              <w:br/>
              <w:t xml:space="preserve">Held in </w:t>
              <w:br/>
              <w:t>Treasury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Treasury</w:t>
              <w:br/>
              <w:t>Stock</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w:t>
              <w:br/>
              <w:t>Deficit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w:t>
              <w:br/>
              <w:t>Other</w:t>
              <w:br/>
              <w:t>Comprehensive</w:t>
              <w:br/>
              <w:t>Income</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Non-</w:t>
              <w:br/>
              <w:t>Controlling</w:t>
              <w:br/>
              <w:t>Interests In</w:t>
              <w:br/>
              <w:t>Subsidiaries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Total</w:t>
              <w:br/>
              <w:t>Equity</w:t>
            </w:r>
          </w:p>
        </w:tc>
        <w:tc>
          <w:tcPr>
            <w:tcW w:w="35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80"/>
              <w:jc w:val="center"/>
              <w:rPr/>
            </w:pPr>
            <w:r>
              <w:rPr/>
              <w:t> </w:t>
            </w:r>
          </w:p>
        </w:tc>
      </w:tr>
      <w:tr>
        <w:trPr/>
        <w:tc>
          <w:tcPr>
            <w:tcW w:w="1151"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b/>
                <w:color w:val="000000"/>
                <w:sz w:val="14"/>
              </w:rPr>
            </w:pPr>
            <w:r>
              <w:rPr>
                <w:rFonts w:ascii="Times New Roman" w:hAnsi="Times New Roman"/>
                <w:b/>
                <w:color w:val="000000"/>
                <w:sz w:val="14"/>
              </w:rPr>
              <w:t>For the Six Months Ended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1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3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26,951,786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471,862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1,097,456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(9,691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(208,444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10,344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264,672</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115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Excise tax on stock repurchase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115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Employee restricted stock grants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307,755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115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Amortization of share awards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2,511</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115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Employee restricted stock vesting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(215,466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215,466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(1,644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(1,644</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w:t>
            </w:r>
          </w:p>
        </w:tc>
      </w:tr>
      <w:tr>
        <w:trPr/>
        <w:tc>
          <w:tcPr>
            <w:tcW w:w="115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Performance restricted stock vesting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18,202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12,721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(93</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w:t>
            </w:r>
          </w:p>
        </w:tc>
      </w:tr>
      <w:tr>
        <w:trPr/>
        <w:tc>
          <w:tcPr>
            <w:tcW w:w="115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Director restricted stock grants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81,477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115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Director restricted stock vesting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(5,502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5,502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(42</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w:t>
            </w:r>
          </w:p>
        </w:tc>
      </w:tr>
      <w:tr>
        <w:trPr/>
        <w:tc>
          <w:tcPr>
            <w:tcW w:w="115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Forfeiture of employee share awards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(5,426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115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(12,512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(12,512</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w:t>
            </w:r>
          </w:p>
        </w:tc>
      </w:tr>
      <w:tr>
        <w:trPr/>
        <w:tc>
          <w:tcPr>
            <w:tcW w:w="115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Other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(606</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(606</w:t>
            </w:r>
          </w:p>
        </w:tc>
        <w:tc>
          <w:tcPr>
            <w:tcW w:w="3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27,132,826</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284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474,395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1,331,145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(11,470</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(220,956</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9,738</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321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252,312</w:t>
            </w:r>
          </w:p>
        </w:tc>
        <w:tc>
          <w:tcPr>
            <w:tcW w:w="3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1151"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b/>
                <w:color w:val="000000"/>
                <w:sz w:val="14"/>
              </w:rPr>
            </w:pPr>
            <w:r>
              <w:rPr>
                <w:rFonts w:ascii="Times New Roman" w:hAnsi="Times New Roman"/>
                <w:b/>
                <w:color w:val="000000"/>
                <w:sz w:val="14"/>
              </w:rPr>
              <w:t>For the Three Months Ended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March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27,062,277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473,241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1,325,643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(11,428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(224,249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9,669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247,838</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115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Excise tax on stock repurchase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115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Amortization of share awards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1,132</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115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Director restricted stock grants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81,477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115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Director restricted stock vesting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(5,502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5,502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(42</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w:t>
            </w:r>
          </w:p>
        </w:tc>
      </w:tr>
      <w:tr>
        <w:trPr/>
        <w:tc>
          <w:tcPr>
            <w:tcW w:w="115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Forfeiture of employee share awards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(5,426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115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3,293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3,293</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115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Other comprehensive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69</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69</w:t>
            </w:r>
          </w:p>
        </w:tc>
        <w:tc>
          <w:tcPr>
            <w:tcW w:w="3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27,132,826</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284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474,395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1,331,145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(11,470</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(220,956</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9,738</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321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252,312</w:t>
            </w:r>
          </w:p>
        </w:tc>
        <w:tc>
          <w:tcPr>
            <w:tcW w:w="3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11338" w:type="dxa"/>
        <w:jc w:val="left"/>
        <w:tblInd w:w="0" w:type="dxa"/>
        <w:tblLayout w:type="fixed"/>
        <w:tblCellMar>
          <w:top w:w="28" w:type="dxa"/>
          <w:left w:w="28" w:type="dxa"/>
          <w:bottom w:w="28" w:type="dxa"/>
          <w:right w:w="28" w:type="dxa"/>
        </w:tblCellMar>
      </w:tblPr>
      <w:tblGrid>
        <w:gridCol w:w="1151"/>
        <w:gridCol w:w="146"/>
        <w:gridCol w:w="146"/>
        <w:gridCol w:w="766"/>
        <w:gridCol w:w="151"/>
        <w:gridCol w:w="146"/>
        <w:gridCol w:w="216"/>
        <w:gridCol w:w="415"/>
        <w:gridCol w:w="151"/>
        <w:gridCol w:w="146"/>
        <w:gridCol w:w="181"/>
        <w:gridCol w:w="586"/>
        <w:gridCol w:w="151"/>
        <w:gridCol w:w="146"/>
        <w:gridCol w:w="146"/>
        <w:gridCol w:w="691"/>
        <w:gridCol w:w="146"/>
        <w:gridCol w:w="146"/>
        <w:gridCol w:w="181"/>
        <w:gridCol w:w="481"/>
        <w:gridCol w:w="151"/>
        <w:gridCol w:w="146"/>
        <w:gridCol w:w="194"/>
        <w:gridCol w:w="677"/>
        <w:gridCol w:w="151"/>
        <w:gridCol w:w="146"/>
        <w:gridCol w:w="267"/>
        <w:gridCol w:w="754"/>
        <w:gridCol w:w="146"/>
        <w:gridCol w:w="146"/>
        <w:gridCol w:w="293"/>
        <w:gridCol w:w="563"/>
        <w:gridCol w:w="146"/>
        <w:gridCol w:w="146"/>
        <w:gridCol w:w="181"/>
        <w:gridCol w:w="586"/>
        <w:gridCol w:w="356"/>
      </w:tblGrid>
      <w:tr>
        <w:trPr/>
        <w:tc>
          <w:tcPr>
            <w:tcW w:w="1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r>
      <w:tr>
        <w:trPr/>
        <w:tc>
          <w:tcPr>
            <w:tcW w:w="1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Shares of</w:t>
              <w:br/>
              <w:t>Common</w:t>
              <w:br/>
              <w:t>Stock</w:t>
              <w:br/>
              <w:t>Outstanding</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Common</w:t>
              <w:br/>
              <w:t>Stock</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Additional</w:t>
              <w:br/>
              <w:t>Paid-In</w:t>
              <w:br/>
              <w:t>Capital</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Shares</w:t>
              <w:br/>
              <w:t xml:space="preserve">Held in </w:t>
              <w:br/>
              <w:t>Treasury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Treasury</w:t>
              <w:br/>
              <w:t>Stock</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w:t>
              <w:br/>
              <w:t>Deficit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w:t>
              <w:br/>
              <w:t>Other</w:t>
              <w:br/>
              <w:t>Comprehensive</w:t>
              <w:br/>
              <w:t>Income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Non-</w:t>
              <w:br/>
              <w:t>Controlling</w:t>
              <w:br/>
              <w:t>Interests In</w:t>
              <w:br/>
              <w:t>Subsidiaries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Total</w:t>
              <w:br/>
              <w:t>Equity</w:t>
            </w:r>
          </w:p>
        </w:tc>
        <w:tc>
          <w:tcPr>
            <w:tcW w:w="35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80"/>
              <w:jc w:val="center"/>
              <w:rPr/>
            </w:pPr>
            <w:r>
              <w:rPr/>
              <w:t> </w:t>
            </w:r>
          </w:p>
        </w:tc>
      </w:tr>
      <w:tr>
        <w:trPr/>
        <w:tc>
          <w:tcPr>
            <w:tcW w:w="1151"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b/>
                <w:color w:val="000000"/>
                <w:sz w:val="14"/>
              </w:rPr>
            </w:pPr>
            <w:r>
              <w:rPr>
                <w:rFonts w:ascii="Times New Roman" w:hAnsi="Times New Roman"/>
                <w:b/>
                <w:color w:val="000000"/>
                <w:sz w:val="14"/>
              </w:rPr>
              <w:t>For the Six Months Ended June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1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6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December 31,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27,669,361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287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479,283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796,965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(8,110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(180,600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7,141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298,322</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115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Repurchase of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(1,355,761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(7,076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(7,089</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w:t>
            </w:r>
          </w:p>
        </w:tc>
      </w:tr>
      <w:tr>
        <w:trPr/>
        <w:tc>
          <w:tcPr>
            <w:tcW w:w="115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Repurchase of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(6,668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(6,668</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w:t>
            </w:r>
          </w:p>
        </w:tc>
      </w:tr>
      <w:tr>
        <w:trPr/>
        <w:tc>
          <w:tcPr>
            <w:tcW w:w="115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Employee restricted stock grants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644,880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115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Amortization of share awards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3,131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3,131</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115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Employee restricted stock vesting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(216,874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216,874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(1,141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(1,141</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w:t>
            </w:r>
          </w:p>
        </w:tc>
      </w:tr>
      <w:tr>
        <w:trPr/>
        <w:tc>
          <w:tcPr>
            <w:tcW w:w="115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Performance restricted stock vesting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110,741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74,189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(377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(377</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w:t>
            </w:r>
          </w:p>
        </w:tc>
      </w:tr>
      <w:tr>
        <w:trPr/>
        <w:tc>
          <w:tcPr>
            <w:tcW w:w="115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Director restricted stock grants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125,923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115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Director restricted stock vesting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(2,011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w:t>
            </w:r>
          </w:p>
        </w:tc>
      </w:tr>
      <w:tr>
        <w:trPr/>
        <w:tc>
          <w:tcPr>
            <w:tcW w:w="115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(22,216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(22,216</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w:t>
            </w:r>
          </w:p>
        </w:tc>
      </w:tr>
      <w:tr>
        <w:trPr/>
        <w:tc>
          <w:tcPr>
            <w:tcW w:w="115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Other comprehensive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3,839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3,839</w:t>
            </w:r>
          </w:p>
        </w:tc>
        <w:tc>
          <w:tcPr>
            <w:tcW w:w="3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June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26,976,259</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281</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468,669</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1,090,039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(9,639</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(202,816</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10,980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321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267,796</w:t>
            </w:r>
          </w:p>
        </w:tc>
        <w:tc>
          <w:tcPr>
            <w:tcW w:w="3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115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b/>
                <w:color w:val="000000"/>
                <w:sz w:val="14"/>
              </w:rPr>
            </w:pPr>
            <w:r>
              <w:rPr>
                <w:rFonts w:ascii="Times New Roman" w:hAnsi="Times New Roman"/>
                <w:b/>
                <w:color w:val="000000"/>
                <w:sz w:val="14"/>
              </w:rPr>
              <w:t>For the Three Months Ended June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March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28,208,108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293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480,904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1,088,028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(9,628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(196,089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8,234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284,035</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115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Repurchase of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(1,355,761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(7,076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(7,089</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w:t>
            </w:r>
          </w:p>
        </w:tc>
      </w:tr>
      <w:tr>
        <w:trPr/>
        <w:tc>
          <w:tcPr>
            <w:tcW w:w="115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Repurchase of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(6,668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(6,668</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w:t>
            </w:r>
          </w:p>
        </w:tc>
      </w:tr>
      <w:tr>
        <w:trPr/>
        <w:tc>
          <w:tcPr>
            <w:tcW w:w="115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Amortization of share awards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1,510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1,510</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115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Director restricted stock grants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125,923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115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Director restricted stock vesting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(2,011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w:t>
            </w:r>
          </w:p>
        </w:tc>
      </w:tr>
      <w:tr>
        <w:trPr/>
        <w:tc>
          <w:tcPr>
            <w:tcW w:w="115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(6,727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(6,727</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w:t>
            </w:r>
          </w:p>
        </w:tc>
      </w:tr>
      <w:tr>
        <w:trPr/>
        <w:tc>
          <w:tcPr>
            <w:tcW w:w="115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Other comprehensive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2,746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2,746</w:t>
            </w:r>
          </w:p>
        </w:tc>
        <w:tc>
          <w:tcPr>
            <w:tcW w:w="3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June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26,976,259</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281</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468,669</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1,090,039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(9,639</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(202,816</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10,980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321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267,796</w:t>
            </w:r>
          </w:p>
        </w:tc>
        <w:tc>
          <w:tcPr>
            <w:tcW w:w="3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center"/>
        <w:rPr>
          <w:rFonts w:ascii="Times New Roman" w:hAnsi="Times New Roman"/>
          <w:sz w:val="20"/>
        </w:rPr>
      </w:pPr>
      <w:r>
        <w:rPr>
          <w:rFonts w:ascii="Times New Roman" w:hAnsi="Times New Roman"/>
          <w:color w:val="000000"/>
          <w:sz w:val="16"/>
        </w:rPr>
        <w:t>The accompanying notes are an integral part of these condensed consolidated financial statements and should be read in conjunction herewith.</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Times New Roman" w:hAnsi="Times New Roman"/>
          <w:color w:val="000000"/>
          <w:sz w:val="24"/>
        </w:rPr>
      </w:pPr>
      <w:r>
        <w:rPr>
          <w:rFonts w:ascii="Times New Roman" w:hAnsi="Times New Roman"/>
          <w:color w:val="000000"/>
          <w:sz w:val="24"/>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SEACOR MARINE HOLDINGS INC.</w:t>
      </w:r>
    </w:p>
    <w:p>
      <w:pPr>
        <w:pStyle w:val="TextBody"/>
        <w:bidi w:val="0"/>
        <w:jc w:val="center"/>
        <w:rPr>
          <w:rFonts w:ascii="Times New Roman" w:hAnsi="Times New Roman"/>
          <w:b/>
          <w:color w:val="000000"/>
          <w:sz w:val="24"/>
        </w:rPr>
      </w:pPr>
      <w:bookmarkStart w:id="9" w:name="unaudited_consolidated_cash_flow"/>
      <w:bookmarkEnd w:id="9"/>
      <w:r>
        <w:rPr>
          <w:rFonts w:ascii="Times New Roman" w:hAnsi="Times New Roman"/>
          <w:b/>
          <w:color w:val="000000"/>
          <w:sz w:val="24"/>
        </w:rPr>
        <w:t>UNAUDITED CONDENSED CONSOLIDATED STATEMENTS OF CASH FLOWS</w:t>
      </w:r>
    </w:p>
    <w:p>
      <w:pPr>
        <w:pStyle w:val="TextBody"/>
        <w:bidi w:val="0"/>
        <w:jc w:val="center"/>
        <w:rPr>
          <w:rFonts w:ascii="Times New Roman" w:hAnsi="Times New Roman"/>
          <w:b/>
          <w:color w:val="000000"/>
          <w:sz w:val="24"/>
        </w:rPr>
      </w:pPr>
      <w:r>
        <w:rPr>
          <w:rFonts w:ascii="Times New Roman" w:hAnsi="Times New Roman"/>
          <w:b/>
          <w:color w:val="000000"/>
          <w:sz w:val="24"/>
        </w:rPr>
        <w:t>(in thousands)</w:t>
      </w:r>
    </w:p>
    <w:p>
      <w:pPr>
        <w:pStyle w:val="TextBody"/>
        <w:bidi w:val="0"/>
        <w:jc w:val="center"/>
        <w:rPr/>
      </w:pPr>
      <w:r>
        <w:rPr/>
        <w:t> </w:t>
      </w:r>
    </w:p>
    <w:tbl>
      <w:tblPr>
        <w:tblW w:w="8499" w:type="dxa"/>
        <w:jc w:val="left"/>
        <w:tblInd w:w="0" w:type="dxa"/>
        <w:tblLayout w:type="fixed"/>
        <w:tblCellMar>
          <w:top w:w="28" w:type="dxa"/>
          <w:left w:w="28" w:type="dxa"/>
          <w:bottom w:w="28" w:type="dxa"/>
          <w:right w:w="28" w:type="dxa"/>
        </w:tblCellMar>
      </w:tblPr>
      <w:tblGrid>
        <w:gridCol w:w="5361"/>
        <w:gridCol w:w="346"/>
        <w:gridCol w:w="181"/>
        <w:gridCol w:w="571"/>
        <w:gridCol w:w="346"/>
        <w:gridCol w:w="346"/>
        <w:gridCol w:w="181"/>
        <w:gridCol w:w="571"/>
        <w:gridCol w:w="596"/>
      </w:tblGrid>
      <w:tr>
        <w:trPr/>
        <w:tc>
          <w:tcPr>
            <w:tcW w:w="536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r>
      <w:tr>
        <w:trPr/>
        <w:tc>
          <w:tcPr>
            <w:tcW w:w="53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Six Months Ended June 30,</w:t>
            </w:r>
          </w:p>
        </w:tc>
        <w:tc>
          <w:tcPr>
            <w:tcW w:w="5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3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2026</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2025</w:t>
            </w:r>
          </w:p>
        </w:tc>
        <w:tc>
          <w:tcPr>
            <w:tcW w:w="5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Cash Flows from Operating Activities: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Net Loss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(12,512</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(22,216</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5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Adjustments to reconcile net loss to net cash used in operating activities: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3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Depreciation and amortization</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21,048</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24,900</w:t>
            </w:r>
          </w:p>
        </w:tc>
        <w:tc>
          <w:tcPr>
            <w:tcW w:w="5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3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Deferred financing costs amortization</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85</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86</w:t>
            </w:r>
          </w:p>
        </w:tc>
        <w:tc>
          <w:tcPr>
            <w:tcW w:w="5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3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Stock-based compensation expense</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2,515</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3,137</w:t>
            </w:r>
          </w:p>
        </w:tc>
        <w:tc>
          <w:tcPr>
            <w:tcW w:w="5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3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Debt discount amortization</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473</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458</w:t>
            </w:r>
          </w:p>
        </w:tc>
        <w:tc>
          <w:tcPr>
            <w:tcW w:w="5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3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Allowance for credit losses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121</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(620</w:t>
            </w:r>
          </w:p>
        </w:tc>
        <w:tc>
          <w:tcPr>
            <w:tcW w:w="5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w:t>
            </w:r>
          </w:p>
        </w:tc>
      </w:tr>
      <w:tr>
        <w:trPr/>
        <w:tc>
          <w:tcPr>
            <w:tcW w:w="53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Gains from equipment sales, retirements or impairments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(38,795</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(24,972</w:t>
            </w:r>
          </w:p>
        </w:tc>
        <w:tc>
          <w:tcPr>
            <w:tcW w:w="5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w:t>
            </w:r>
          </w:p>
        </w:tc>
      </w:tr>
      <w:tr>
        <w:trPr/>
        <w:tc>
          <w:tcPr>
            <w:tcW w:w="53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Derivative gains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(212</w:t>
            </w:r>
          </w:p>
        </w:tc>
        <w:tc>
          <w:tcPr>
            <w:tcW w:w="5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w:t>
            </w:r>
          </w:p>
        </w:tc>
      </w:tr>
      <w:tr>
        <w:trPr/>
        <w:tc>
          <w:tcPr>
            <w:tcW w:w="53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Interest on finance leases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w:t>
            </w:r>
          </w:p>
        </w:tc>
        <w:tc>
          <w:tcPr>
            <w:tcW w:w="5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3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Settlements on derivative transactions, net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(373</w:t>
            </w:r>
          </w:p>
        </w:tc>
        <w:tc>
          <w:tcPr>
            <w:tcW w:w="5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w:t>
            </w:r>
          </w:p>
        </w:tc>
      </w:tr>
      <w:tr>
        <w:trPr/>
        <w:tc>
          <w:tcPr>
            <w:tcW w:w="53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Currency losses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503</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3,315</w:t>
            </w:r>
          </w:p>
        </w:tc>
        <w:tc>
          <w:tcPr>
            <w:tcW w:w="5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3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Deferred income taxes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204</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(3,707</w:t>
            </w:r>
          </w:p>
        </w:tc>
        <w:tc>
          <w:tcPr>
            <w:tcW w:w="5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w:t>
            </w:r>
          </w:p>
        </w:tc>
      </w:tr>
      <w:tr>
        <w:trPr/>
        <w:tc>
          <w:tcPr>
            <w:tcW w:w="53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Equity earnings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(106</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(1,107</w:t>
            </w:r>
          </w:p>
        </w:tc>
        <w:tc>
          <w:tcPr>
            <w:tcW w:w="5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w:t>
            </w:r>
          </w:p>
        </w:tc>
      </w:tr>
      <w:tr>
        <w:trPr/>
        <w:tc>
          <w:tcPr>
            <w:tcW w:w="53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Dividends received from 50% or less owned companies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3,199</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Changes in Operating Assets and Liabilities: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3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Accounts receivables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28</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5,617</w:t>
            </w:r>
          </w:p>
        </w:tc>
        <w:tc>
          <w:tcPr>
            <w:tcW w:w="5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3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Other assets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109</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220</w:t>
            </w:r>
          </w:p>
        </w:tc>
        <w:tc>
          <w:tcPr>
            <w:tcW w:w="5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3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Accounts payable and accrued liabilities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(1,985</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(1,270</w:t>
            </w:r>
          </w:p>
        </w:tc>
        <w:tc>
          <w:tcPr>
            <w:tcW w:w="59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5"/>
              </w:rPr>
            </w:pPr>
            <w:r>
              <w:rPr>
                <w:rFonts w:ascii="Times New Roman" w:hAnsi="Times New Roman"/>
                <w:color w:val="000000"/>
                <w:sz w:val="15"/>
              </w:rPr>
              <w:t>)</w:t>
            </w:r>
          </w:p>
        </w:tc>
      </w:tr>
      <w:tr>
        <w:trPr/>
        <w:tc>
          <w:tcPr>
            <w:tcW w:w="536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5"/>
              </w:rPr>
            </w:pPr>
            <w:r>
              <w:rPr>
                <w:rFonts w:ascii="Times New Roman" w:hAnsi="Times New Roman"/>
                <w:color w:val="000000"/>
                <w:sz w:val="15"/>
              </w:rPr>
              <w:t>Net cash used in operating activities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(28,311</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(13,543</w:t>
            </w:r>
          </w:p>
        </w:tc>
        <w:tc>
          <w:tcPr>
            <w:tcW w:w="5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5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Cash Flows from Investing Activities: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3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Purchases of property and equipment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(12,517</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(31,008</w:t>
            </w:r>
          </w:p>
        </w:tc>
        <w:tc>
          <w:tcPr>
            <w:tcW w:w="5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w:t>
            </w:r>
          </w:p>
        </w:tc>
      </w:tr>
      <w:tr>
        <w:trPr/>
        <w:tc>
          <w:tcPr>
            <w:tcW w:w="53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Proceeds from disposition of property and equipment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57,515</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40,064</w:t>
            </w:r>
          </w:p>
        </w:tc>
        <w:tc>
          <w:tcPr>
            <w:tcW w:w="59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36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5"/>
              </w:rPr>
            </w:pPr>
            <w:r>
              <w:rPr>
                <w:rFonts w:ascii="Times New Roman" w:hAnsi="Times New Roman"/>
                <w:color w:val="000000"/>
                <w:sz w:val="15"/>
              </w:rPr>
              <w:t>Net cash provided by investing activities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57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44,998</w:t>
            </w:r>
          </w:p>
        </w:tc>
        <w:tc>
          <w:tcPr>
            <w:tcW w:w="3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57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9,056</w:t>
            </w:r>
          </w:p>
        </w:tc>
        <w:tc>
          <w:tcPr>
            <w:tcW w:w="59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r>
        <w:trPr/>
        <w:tc>
          <w:tcPr>
            <w:tcW w:w="5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Cash Flows from Financing Activities: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3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Payments on long-term debt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(15,000</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(12,500</w:t>
            </w:r>
          </w:p>
        </w:tc>
        <w:tc>
          <w:tcPr>
            <w:tcW w:w="5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w:t>
            </w:r>
          </w:p>
        </w:tc>
      </w:tr>
      <w:tr>
        <w:trPr/>
        <w:tc>
          <w:tcPr>
            <w:tcW w:w="53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Payments on long-term debt issuance costs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7,701</w:t>
            </w:r>
          </w:p>
        </w:tc>
        <w:tc>
          <w:tcPr>
            <w:tcW w:w="5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3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Payments on finance leases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w:t>
            </w:r>
          </w:p>
        </w:tc>
        <w:tc>
          <w:tcPr>
            <w:tcW w:w="5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w:t>
            </w:r>
          </w:p>
        </w:tc>
      </w:tr>
      <w:tr>
        <w:trPr/>
        <w:tc>
          <w:tcPr>
            <w:tcW w:w="53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Payments for repurchase of common stock</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(7,089</w:t>
            </w:r>
          </w:p>
        </w:tc>
        <w:tc>
          <w:tcPr>
            <w:tcW w:w="5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w:t>
            </w:r>
          </w:p>
        </w:tc>
      </w:tr>
      <w:tr>
        <w:trPr/>
        <w:tc>
          <w:tcPr>
            <w:tcW w:w="53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Payments for repurchase of warrants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(6,668</w:t>
            </w:r>
          </w:p>
        </w:tc>
        <w:tc>
          <w:tcPr>
            <w:tcW w:w="5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w:t>
            </w:r>
          </w:p>
        </w:tc>
      </w:tr>
      <w:tr>
        <w:trPr/>
        <w:tc>
          <w:tcPr>
            <w:tcW w:w="53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Excise tax on stock repurchase</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22</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3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Tax withholdings on restricted stock vesting and director share awards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(1,779</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(1,529</w:t>
            </w:r>
          </w:p>
        </w:tc>
        <w:tc>
          <w:tcPr>
            <w:tcW w:w="59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5"/>
              </w:rPr>
            </w:pPr>
            <w:r>
              <w:rPr>
                <w:rFonts w:ascii="Times New Roman" w:hAnsi="Times New Roman"/>
                <w:color w:val="000000"/>
                <w:sz w:val="15"/>
              </w:rPr>
              <w:t>)</w:t>
            </w:r>
          </w:p>
        </w:tc>
      </w:tr>
      <w:tr>
        <w:trPr/>
        <w:tc>
          <w:tcPr>
            <w:tcW w:w="536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5"/>
              </w:rPr>
            </w:pPr>
            <w:r>
              <w:rPr>
                <w:rFonts w:ascii="Times New Roman" w:hAnsi="Times New Roman"/>
                <w:color w:val="000000"/>
                <w:sz w:val="15"/>
              </w:rPr>
              <w:t>Net cash used in financing activities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(16,764</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(20,098</w:t>
            </w:r>
          </w:p>
        </w:tc>
        <w:tc>
          <w:tcPr>
            <w:tcW w:w="5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5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Effects of Exchange Rate Changes on Cash, Restricted Cash and Cash Equivalents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Net Change in Cash, Restricted Cash and Cash Equivalents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(76</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(24,585</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5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Cash, Restricted Cash and Cash Equivalents, Beginning of Period</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93,116</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76,140</w:t>
            </w:r>
          </w:p>
        </w:tc>
        <w:tc>
          <w:tcPr>
            <w:tcW w:w="5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Cash, Restricted Cash and Cash Equivalents, End of Period</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93,040</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51,555</w:t>
            </w:r>
          </w:p>
        </w:tc>
        <w:tc>
          <w:tcPr>
            <w:tcW w:w="5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Supplemental disclosures: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3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Cash paid for interest, excluding capitalized interest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15,925</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19,504</w:t>
            </w:r>
          </w:p>
        </w:tc>
        <w:tc>
          <w:tcPr>
            <w:tcW w:w="5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3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Income taxes refunded (paid), net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102</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(1,095</w:t>
            </w:r>
          </w:p>
        </w:tc>
        <w:tc>
          <w:tcPr>
            <w:tcW w:w="5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w:t>
            </w:r>
          </w:p>
        </w:tc>
      </w:tr>
      <w:tr>
        <w:trPr/>
        <w:tc>
          <w:tcPr>
            <w:tcW w:w="53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Noncash Investing and Financing Activities: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3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Increase (decrease) in capital expenditures in accounts payable and accrued liabilities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398</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(4,928</w:t>
            </w:r>
          </w:p>
        </w:tc>
        <w:tc>
          <w:tcPr>
            <w:tcW w:w="59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5"/>
              </w:rPr>
            </w:pPr>
            <w:r>
              <w:rPr>
                <w:rFonts w:ascii="Times New Roman" w:hAnsi="Times New Roman"/>
                <w:color w:val="000000"/>
                <w:sz w:val="15"/>
              </w:rPr>
              <w:t>)</w:t>
            </w:r>
          </w:p>
        </w:tc>
      </w:tr>
      <w:tr>
        <w:trPr/>
        <w:tc>
          <w:tcPr>
            <w:tcW w:w="536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5"/>
              </w:rPr>
            </w:pPr>
            <w:r>
              <w:rPr>
                <w:rFonts w:ascii="Times New Roman" w:hAnsi="Times New Roman"/>
                <w:color w:val="000000"/>
                <w:sz w:val="15"/>
              </w:rPr>
              <w:t>Recognition of a new right-of-use asset - operating leases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230</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40" w:after="283"/>
        <w:jc w:val="both"/>
        <w:rPr/>
      </w:pPr>
      <w:r>
        <w:rPr/>
        <w:t> </w:t>
      </w:r>
    </w:p>
    <w:p>
      <w:pPr>
        <w:pStyle w:val="TextBody"/>
        <w:bidi w:val="0"/>
        <w:spacing w:before="120" w:after="283"/>
        <w:jc w:val="center"/>
        <w:rPr>
          <w:rFonts w:ascii="Times New Roman" w:hAnsi="Times New Roman"/>
          <w:sz w:val="20"/>
        </w:rPr>
      </w:pPr>
      <w:r>
        <w:rPr>
          <w:rFonts w:ascii="Times New Roman" w:hAnsi="Times New Roman"/>
          <w:color w:val="000000"/>
          <w:sz w:val="16"/>
        </w:rPr>
        <w:t>The accompanying notes are an integral part of these condensed consolidated financial statements and should be read in conjunction herewith.</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Times New Roman" w:hAnsi="Times New Roman"/>
          <w:color w:val="000000"/>
          <w:sz w:val="24"/>
        </w:rPr>
      </w:pPr>
      <w:r>
        <w:rPr>
          <w:rFonts w:ascii="Times New Roman" w:hAnsi="Times New Roman"/>
          <w:color w:val="000000"/>
          <w:sz w:val="24"/>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SEACOR MARINE HOLDINGS INC.</w:t>
      </w:r>
    </w:p>
    <w:p>
      <w:pPr>
        <w:pStyle w:val="TextBody"/>
        <w:bidi w:val="0"/>
        <w:jc w:val="center"/>
        <w:rPr>
          <w:rFonts w:ascii="Times New Roman" w:hAnsi="Times New Roman"/>
          <w:b/>
          <w:color w:val="000000"/>
          <w:sz w:val="24"/>
        </w:rPr>
      </w:pPr>
      <w:bookmarkStart w:id="10" w:name="notes_to_condensed_consolidated_financia"/>
      <w:bookmarkEnd w:id="10"/>
      <w:r>
        <w:rPr>
          <w:rFonts w:ascii="Times New Roman" w:hAnsi="Times New Roman"/>
          <w:b/>
          <w:color w:val="000000"/>
          <w:sz w:val="24"/>
        </w:rPr>
        <w:t>NOTES TO CONDENSED CONSOLIDATED FINANCIAL STATEMENTS</w:t>
      </w:r>
    </w:p>
    <w:p>
      <w:pPr>
        <w:pStyle w:val="TextBody"/>
        <w:bidi w:val="0"/>
        <w:jc w:val="center"/>
        <w:rPr>
          <w:rFonts w:ascii="Times New Roman" w:hAnsi="Times New Roman"/>
          <w:b/>
          <w:color w:val="000000"/>
          <w:sz w:val="24"/>
        </w:rPr>
      </w:pPr>
      <w:r>
        <w:rPr>
          <w:rFonts w:ascii="Times New Roman" w:hAnsi="Times New Roman"/>
          <w:b/>
          <w:color w:val="000000"/>
          <w:sz w:val="24"/>
        </w:rPr>
        <w:t>(unaudited)</w:t>
      </w:r>
    </w:p>
    <w:p>
      <w:pPr>
        <w:pStyle w:val="TextBody"/>
        <w:bidi w:val="0"/>
        <w:spacing w:before="200" w:after="283"/>
        <w:jc w:val="left"/>
        <w:rPr>
          <w:rFonts w:ascii="Times New Roman" w:hAnsi="Times New Roman"/>
          <w:b/>
          <w:color w:val="000000"/>
          <w:sz w:val="24"/>
        </w:rPr>
      </w:pPr>
      <w:r>
        <w:rPr>
          <w:rFonts w:ascii="Times New Roman" w:hAnsi="Times New Roman"/>
          <w:b/>
          <w:color w:val="000000"/>
          <w:sz w:val="24"/>
        </w:rPr>
        <w:t>1.</w:t>
      </w:r>
    </w:p>
    <w:p>
      <w:pPr>
        <w:pStyle w:val="TextBody"/>
        <w:bidi w:val="0"/>
        <w:spacing w:before="200" w:after="283"/>
        <w:jc w:val="left"/>
        <w:rPr>
          <w:rFonts w:ascii="Times New Roman" w:hAnsi="Times New Roman"/>
          <w:b/>
          <w:color w:val="000000"/>
          <w:sz w:val="24"/>
        </w:rPr>
      </w:pPr>
      <w:r>
        <w:rPr>
          <w:rFonts w:ascii="Times New Roman" w:hAnsi="Times New Roman"/>
          <w:b/>
          <w:color w:val="000000"/>
          <w:sz w:val="24"/>
        </w:rPr>
        <w:t>BASIS OF PRESENTATION AND ACCOUNTING POLICIES</w:t>
      </w:r>
    </w:p>
    <w:p>
      <w:pPr>
        <w:pStyle w:val="TextBody"/>
        <w:bidi w:val="0"/>
        <w:spacing w:before="200" w:after="283"/>
        <w:jc w:val="both"/>
        <w:rPr>
          <w:rFonts w:ascii="Times New Roman" w:hAnsi="Times New Roman"/>
          <w:color w:val="000000"/>
          <w:sz w:val="24"/>
        </w:rPr>
      </w:pPr>
      <w:r>
        <w:rPr>
          <w:rFonts w:ascii="Times New Roman" w:hAnsi="Times New Roman"/>
          <w:color w:val="000000"/>
          <w:sz w:val="24"/>
        </w:rPr>
        <w:t>The condensed consolidated financial statements include the accounts of SEACOR Marine Holdings Inc. and its consolidated subsidiaries (the “Company”). In the opinion of management, all adjustments (consisting of normal recurring adjustments) have been made to fairly present the unaudited condensed consolidated financial statements for the periods indicated. Results of operations for the interim periods presented are not necessarily indicative of operating results for the full year or any future periods.</w:t>
      </w:r>
    </w:p>
    <w:p>
      <w:pPr>
        <w:pStyle w:val="TextBody"/>
        <w:bidi w:val="0"/>
        <w:spacing w:before="200" w:after="283"/>
        <w:jc w:val="both"/>
        <w:rPr>
          <w:rFonts w:ascii="Times New Roman" w:hAnsi="Times New Roman"/>
          <w:color w:val="000000"/>
          <w:sz w:val="24"/>
        </w:rPr>
      </w:pPr>
      <w:r>
        <w:rPr>
          <w:rFonts w:ascii="Times New Roman" w:hAnsi="Times New Roman"/>
          <w:color w:val="000000"/>
          <w:sz w:val="24"/>
        </w:rPr>
        <w:t>Certain information and footnote disclosures normally included in financial statements prepared in accordance with generally accepted accounting principles in the United States (“U.S. GAAP”) have been condensed or omitted. These condensed consolidated financial statements should be read in conjunction with the Company’s financial statements and related notes thereto included in the Company’s Annual Report on Form 10-K for the year ended December 31, 2025 (the “2025 Annual Report”).</w:t>
      </w:r>
    </w:p>
    <w:p>
      <w:pPr>
        <w:pStyle w:val="TextBody"/>
        <w:bidi w:val="0"/>
        <w:spacing w:before="200" w:after="283"/>
        <w:jc w:val="both"/>
        <w:rPr>
          <w:rFonts w:ascii="Times New Roman" w:hAnsi="Times New Roman"/>
          <w:color w:val="000000"/>
          <w:sz w:val="24"/>
        </w:rPr>
      </w:pPr>
      <w:r>
        <w:rPr>
          <w:rFonts w:ascii="Times New Roman" w:hAnsi="Times New Roman"/>
          <w:color w:val="000000"/>
          <w:sz w:val="24"/>
        </w:rPr>
        <w:t>Unless the context otherwise indicates, any reference in this Quarterly Report on Form 10-Q to the “Company” refers to SEACOR Marine Holdings Inc. and its consolidated subsidiaries, and any reference in this Quarterly Report on Form 10-Q to “SEACOR Marine” refers to SEACOR Marine Holdings Inc. without its consolidated subsidiaries.</w:t>
      </w:r>
    </w:p>
    <w:p>
      <w:pPr>
        <w:pStyle w:val="TextBody"/>
        <w:bidi w:val="0"/>
        <w:spacing w:before="200" w:after="283"/>
        <w:jc w:val="both"/>
        <w:rPr>
          <w:rFonts w:ascii="Times New Roman" w:hAnsi="Times New Roman"/>
          <w:b/>
          <w:i/>
          <w:color w:val="000000"/>
          <w:sz w:val="24"/>
          <w:u w:val="single"/>
        </w:rPr>
      </w:pPr>
      <w:r>
        <w:rPr>
          <w:rFonts w:ascii="Times New Roman" w:hAnsi="Times New Roman"/>
          <w:b/>
          <w:i/>
          <w:color w:val="000000"/>
          <w:sz w:val="24"/>
          <w:u w:val="single"/>
        </w:rPr>
        <w:t>Recently Adopted Accounting Standards.</w:t>
      </w:r>
    </w:p>
    <w:p>
      <w:pPr>
        <w:pStyle w:val="TextBody"/>
        <w:bidi w:val="0"/>
        <w:spacing w:before="200" w:after="283"/>
        <w:jc w:val="both"/>
        <w:rPr>
          <w:rFonts w:ascii="Times New Roman" w:hAnsi="Times New Roman"/>
          <w:sz w:val="20"/>
        </w:rPr>
      </w:pPr>
      <w:r>
        <w:rPr>
          <w:rFonts w:ascii="Times New Roman" w:hAnsi="Times New Roman"/>
          <w:color w:val="000000"/>
          <w:sz w:val="24"/>
        </w:rPr>
        <w:t>On December 14, 2023, the Financial Accounting Standards Board (“FASB”) issued Accounting Standards Update (“ASU”) 2023-09, Income Taxes (Topic 740): Improvements to Income Tax Disclosures, which requires public entities to disclose, on an annual basis, information about their effective tax rate reconciliation and information on income taxes paid. The guidance is effective for fiscal years beginning after December 15, 2024. The Company adopted</w:t>
      </w:r>
      <w:r>
        <w:rPr>
          <w:rFonts w:ascii="Times New Roman" w:hAnsi="Times New Roman"/>
          <w:color w:val="000000"/>
          <w:sz w:val="20"/>
        </w:rPr>
        <w:t xml:space="preserve"> </w:t>
      </w:r>
      <w:r>
        <w:rPr>
          <w:rFonts w:ascii="Times New Roman" w:hAnsi="Times New Roman"/>
          <w:color w:val="000000"/>
          <w:sz w:val="24"/>
        </w:rPr>
        <w:t>ASU 2023-09 for the year ended December 31, 2025, which only affected</w:t>
      </w:r>
      <w:r>
        <w:rPr>
          <w:rFonts w:ascii="Times New Roman" w:hAnsi="Times New Roman"/>
          <w:color w:val="000000"/>
          <w:sz w:val="20"/>
        </w:rPr>
        <w:t xml:space="preserve"> </w:t>
      </w:r>
      <w:r>
        <w:rPr>
          <w:rFonts w:ascii="Times New Roman" w:hAnsi="Times New Roman"/>
          <w:color w:val="000000"/>
          <w:sz w:val="24"/>
        </w:rPr>
        <w:t>the disclosures and did not impact the Company’s consolidated financial position or results of operations.</w:t>
      </w:r>
    </w:p>
    <w:p>
      <w:pPr>
        <w:pStyle w:val="TextBody"/>
        <w:bidi w:val="0"/>
        <w:spacing w:before="200" w:after="283"/>
        <w:jc w:val="both"/>
        <w:rPr>
          <w:rFonts w:ascii="Times New Roman" w:hAnsi="Times New Roman"/>
          <w:b/>
          <w:i/>
          <w:color w:val="000000"/>
          <w:sz w:val="24"/>
          <w:u w:val="single"/>
        </w:rPr>
      </w:pPr>
      <w:r>
        <w:rPr>
          <w:rFonts w:ascii="Times New Roman" w:hAnsi="Times New Roman"/>
          <w:b/>
          <w:i/>
          <w:color w:val="000000"/>
          <w:sz w:val="24"/>
          <w:u w:val="single"/>
        </w:rPr>
        <w:t>Recently Issued Accounting Standards.</w:t>
      </w:r>
    </w:p>
    <w:p>
      <w:pPr>
        <w:pStyle w:val="TextBody"/>
        <w:bidi w:val="0"/>
        <w:spacing w:before="200" w:after="283"/>
        <w:jc w:val="both"/>
        <w:rPr>
          <w:rFonts w:ascii="Times New Roman" w:hAnsi="Times New Roman"/>
          <w:color w:val="000000"/>
          <w:sz w:val="24"/>
        </w:rPr>
      </w:pPr>
      <w:r>
        <w:rPr>
          <w:rFonts w:ascii="Times New Roman" w:hAnsi="Times New Roman"/>
          <w:color w:val="000000"/>
          <w:sz w:val="24"/>
        </w:rPr>
        <w:t>On December 18, 2025, the FASB issued ASU 2025-12, Codification Improvements, which clarify, correct errors in and make improvements related to various topics in the FASB Accounting Standards Codification (“ASC”). The guidance is effective for fiscal years, and interim periods within those fiscal years, beginning after December 15, 2026. While early adoption is permitted on an issue-by-issue basis, the Company has determined it will not early adopt the standard. The Company does not believe the adoption of the standard will have a material effect on the Company’s consolidated financial position or results of operations.</w:t>
      </w:r>
    </w:p>
    <w:p>
      <w:pPr>
        <w:pStyle w:val="TextBody"/>
        <w:bidi w:val="0"/>
        <w:spacing w:before="200" w:after="283"/>
        <w:jc w:val="both"/>
        <w:rPr>
          <w:rFonts w:ascii="Times New Roman" w:hAnsi="Times New Roman"/>
          <w:color w:val="000000"/>
          <w:sz w:val="24"/>
        </w:rPr>
      </w:pPr>
      <w:r>
        <w:rPr>
          <w:rFonts w:ascii="Times New Roman" w:hAnsi="Times New Roman"/>
          <w:color w:val="000000"/>
          <w:sz w:val="24"/>
        </w:rPr>
        <w:t>On December 8, 2025, the FASB issued ASU 2025-11, Interim Reporting (Topic 270): Narrow Scope Improvements, which clarifies interim financial reporting requirements by improving the navigability of the guidance and more clearly specifies what disclosures are required in an interim reporting period. The guidance is effective for interim periods in fiscal years beginning after December 15, 2027. While early adoption is permitted, the Company has determined it will not early adopt the standard. The Company does not believe the adoption of the standard will have a material effect on the Company’s consolidated financial position or results of operations.</w:t>
      </w:r>
    </w:p>
    <w:p>
      <w:pPr>
        <w:pStyle w:val="TextBody"/>
        <w:bidi w:val="0"/>
        <w:spacing w:before="200" w:after="283"/>
        <w:jc w:val="both"/>
        <w:rPr>
          <w:rFonts w:ascii="Times New Roman" w:hAnsi="Times New Roman"/>
          <w:sz w:val="20"/>
        </w:rPr>
      </w:pPr>
      <w:r>
        <w:rPr>
          <w:rFonts w:ascii="Times New Roman" w:hAnsi="Times New Roman"/>
          <w:color w:val="000000"/>
          <w:sz w:val="24"/>
        </w:rPr>
        <w:t>On September 29, 2025, the FASB issued ASU 2025-07, Derivatives and Hedging (Topic 815) and Revenue from Contracts with Customers (Topic 606): Derivatives Scope Refinements and Scope Clarification for Share-Based Noncash Consideration from a Customer in a Revenue Contract, which addresses two issues: (1) refines the scope of the guidance on derivatives in ASC 815 (Issue 1) and (2) clarifies the guidance on</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Times New Roman" w:hAnsi="Times New Roman"/>
          <w:color w:val="000000"/>
          <w:sz w:val="24"/>
        </w:rPr>
      </w:pPr>
      <w:r>
        <w:rPr>
          <w:rFonts w:ascii="Times New Roman" w:hAnsi="Times New Roman"/>
          <w:color w:val="000000"/>
          <w:sz w:val="24"/>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4"/>
        </w:rPr>
      </w:pPr>
      <w:r>
        <w:rPr>
          <w:rFonts w:ascii="Times New Roman" w:hAnsi="Times New Roman"/>
          <w:color w:val="000000"/>
          <w:sz w:val="24"/>
        </w:rPr>
        <w:t>share-based payments from a customer in ASC 606 (Issue 2). The guidance is effective for fiscal years, and interim periods within those fiscal years, beginning after December 15, 2026. While early adoption is permitted, the Company has determined it will not early adopt the standards. The Company does not believe the adoption of the standard will have a material effect on the Company’s consolidated financial position or results of operations.</w:t>
      </w:r>
    </w:p>
    <w:p>
      <w:pPr>
        <w:pStyle w:val="TextBody"/>
        <w:bidi w:val="0"/>
        <w:spacing w:before="200" w:after="283"/>
        <w:jc w:val="both"/>
        <w:rPr>
          <w:rFonts w:ascii="Times New Roman" w:hAnsi="Times New Roman"/>
          <w:color w:val="000000"/>
          <w:sz w:val="24"/>
        </w:rPr>
      </w:pPr>
      <w:r>
        <w:rPr>
          <w:rFonts w:ascii="Times New Roman" w:hAnsi="Times New Roman"/>
          <w:color w:val="000000"/>
          <w:sz w:val="24"/>
        </w:rPr>
        <w:t>On November 4, 2024, the FASB issued ASU 2024-03, Reporting Comprehensive Income–Expense Disaggregation Disclosures (Subtopic 220-40): Disaggregation of Income Statement Expenses, which requires disaggregation of certain income statement expense captions into specified categories in disclosures within the footnotes to the financial statements. The guidance is effective for fiscal years beginning after December 15, 2026, and interim periods within the fiscal years beginning after December 15, 2027. While early adoption is permitted, the Company has determined it will not early adopt the standard. The Company does not believe the adoption of the standard will have a material effect on the Company’s consolidated financial position or results of operations.</w:t>
      </w:r>
    </w:p>
    <w:p>
      <w:pPr>
        <w:pStyle w:val="TextBody"/>
        <w:bidi w:val="0"/>
        <w:spacing w:before="200" w:after="283"/>
        <w:jc w:val="both"/>
        <w:rPr>
          <w:rFonts w:ascii="Times New Roman" w:hAnsi="Times New Roman"/>
          <w:color w:val="000000"/>
          <w:sz w:val="24"/>
        </w:rPr>
      </w:pPr>
      <w:r>
        <w:rPr>
          <w:rFonts w:ascii="Times New Roman" w:hAnsi="Times New Roman"/>
          <w:color w:val="000000"/>
          <w:sz w:val="24"/>
        </w:rPr>
        <w:t>On October 9, 2023, the FASB issued ASU 2023-06, Disclosure Improvements: Codification Amendments in Response to the United States Securities and Exchange Commission’s (“SEC”) Disclosure Update and Simplification Initiative, which amends the disclosure or presentation requirements related to various subtopics in the FASB ASC. The effective date is contingent on when the SEC removes the related disclosure from Regulation S-X or Regulation S-K, with early adoption prohibited. The Company does not believe the adoption of the standard will have a material effect on the Company’s consolidated financial position, results of operations or disclosures.</w:t>
      </w:r>
    </w:p>
    <w:p>
      <w:pPr>
        <w:pStyle w:val="TextBody"/>
        <w:bidi w:val="0"/>
        <w:spacing w:before="200" w:after="283"/>
        <w:jc w:val="both"/>
        <w:rPr>
          <w:rFonts w:ascii="Times New Roman" w:hAnsi="Times New Roman"/>
          <w:sz w:val="20"/>
        </w:rPr>
      </w:pPr>
      <w:r>
        <w:rPr>
          <w:rFonts w:ascii="Times New Roman" w:hAnsi="Times New Roman"/>
          <w:b/>
          <w:i/>
          <w:color w:val="000000"/>
          <w:sz w:val="24"/>
          <w:u w:val="single"/>
        </w:rPr>
        <w:t>Accounting Policies.</w:t>
      </w:r>
      <w:r>
        <w:rPr>
          <w:rFonts w:ascii="Times New Roman" w:hAnsi="Times New Roman"/>
          <w:color w:val="000000"/>
          <w:sz w:val="20"/>
        </w:rPr>
        <w:t xml:space="preserve"> </w:t>
      </w:r>
    </w:p>
    <w:p>
      <w:pPr>
        <w:pStyle w:val="TextBody"/>
        <w:bidi w:val="0"/>
        <w:spacing w:before="200" w:after="283"/>
        <w:jc w:val="both"/>
        <w:rPr>
          <w:rFonts w:ascii="Times New Roman" w:hAnsi="Times New Roman"/>
          <w:sz w:val="20"/>
        </w:rPr>
      </w:pPr>
      <w:r>
        <w:rPr>
          <w:rFonts w:ascii="Times New Roman" w:hAnsi="Times New Roman"/>
          <w:b/>
          <w:i/>
          <w:color w:val="000000"/>
          <w:sz w:val="24"/>
        </w:rPr>
        <w:t xml:space="preserve">Basis of Consolidation. </w:t>
      </w:r>
      <w:r>
        <w:rPr>
          <w:rFonts w:ascii="Times New Roman" w:hAnsi="Times New Roman"/>
          <w:color w:val="000000"/>
          <w:sz w:val="24"/>
        </w:rPr>
        <w:t>The consolidated financial statements include the accounts of SEACOR Marine and its controlled subsidiaries. Control is generally deemed to exist if the Company has greater than 50% of the voting rights of a subsidiary. All significant intercompany accounts and transactions are eliminated in the consolidation.</w:t>
      </w:r>
    </w:p>
    <w:p>
      <w:pPr>
        <w:pStyle w:val="TextBody"/>
        <w:bidi w:val="0"/>
        <w:spacing w:before="200" w:after="283"/>
        <w:jc w:val="both"/>
        <w:rPr>
          <w:rFonts w:ascii="Times New Roman" w:hAnsi="Times New Roman"/>
          <w:color w:val="000000"/>
          <w:sz w:val="24"/>
        </w:rPr>
      </w:pPr>
      <w:r>
        <w:rPr>
          <w:rFonts w:ascii="Times New Roman" w:hAnsi="Times New Roman"/>
          <w:color w:val="000000"/>
          <w:sz w:val="24"/>
        </w:rPr>
        <w:t>Noncontrolling interests in consolidated subsidiaries are included in the consolidated balance sheets as a separate component of equity. The Company reports consolidated net income (loss) inclusive of both the Company’s and the noncontrolling interests’ share, as well as the amounts of consolidated net income (loss) attributable to each of the Company and the noncontrolling interests. If a subsidiary is deconsolidated upon a change in control, any retained noncontrolling equity investment in the former controlled subsidiary is measured at fair value and a gain or loss is recognized in net income (loss) based on such fair value. If a subsidiary is consolidated upon the business acquisition of controlling interests by the Company, any previous noncontrolled equity investment in the subsidiary is measured at fair value and a gain or loss is recognized in net income (loss) based on such fair value.</w:t>
      </w:r>
    </w:p>
    <w:p>
      <w:pPr>
        <w:pStyle w:val="TextBody"/>
        <w:bidi w:val="0"/>
        <w:spacing w:before="200" w:after="283"/>
        <w:jc w:val="both"/>
        <w:rPr>
          <w:rFonts w:ascii="Times New Roman" w:hAnsi="Times New Roman"/>
          <w:color w:val="000000"/>
          <w:sz w:val="24"/>
        </w:rPr>
      </w:pPr>
      <w:r>
        <w:rPr>
          <w:rFonts w:ascii="Times New Roman" w:hAnsi="Times New Roman"/>
          <w:color w:val="000000"/>
          <w:sz w:val="24"/>
        </w:rPr>
        <w:t>The Company employs the equity method of accounting for investments in 50% or less owned companies that it does not control but has the ability to exercise significant influence over the operating and financial policies of the business venture. Significant influence is generally deemed to exist if the Company has between 20% and 50% of the voting rights of a business venture but may exist when the Company’s ownership percentage is less than 20%. In certain circumstances, the Company may have an economic interest in excess of 50% but may not control and consolidate the business venture. Conversely, the Company may have an economic interest less than 50% but may control and consolidate the business venture. The Company reports its investments in and advances to these business ventures in the accompanying consolidated balance sheets as investments, at equity, and advances to 50% or less owned companies. The Company reports its share of earnings from investments in 50% or less owned companies in the accompanying consolidated statements of income (loss) as equity in earnings of 50% or less owned companies.</w:t>
      </w:r>
    </w:p>
    <w:p>
      <w:pPr>
        <w:pStyle w:val="TextBody"/>
        <w:bidi w:val="0"/>
        <w:spacing w:before="200" w:after="283"/>
        <w:jc w:val="both"/>
        <w:rPr>
          <w:rFonts w:ascii="Times New Roman" w:hAnsi="Times New Roman"/>
          <w:color w:val="000000"/>
          <w:sz w:val="24"/>
        </w:rPr>
      </w:pPr>
      <w:r>
        <w:rPr>
          <w:rFonts w:ascii="Times New Roman" w:hAnsi="Times New Roman"/>
          <w:color w:val="000000"/>
          <w:sz w:val="24"/>
        </w:rPr>
        <w:t>Certain reclassifications were made to previously reported amounts in the consolidated financial statements and notes thereto to make them consistent with the current period presentation.</w:t>
      </w:r>
    </w:p>
    <w:p>
      <w:pPr>
        <w:pStyle w:val="TextBody"/>
        <w:bidi w:val="0"/>
        <w:jc w:val="center"/>
        <w:rPr/>
      </w:pPr>
      <w:r>
        <w:rPr/>
        <w:t> </w:t>
      </w:r>
    </w:p>
    <w:p>
      <w:pPr>
        <w:pStyle w:val="TextBody"/>
        <w:bidi w:val="0"/>
        <w:jc w:val="center"/>
        <w:rPr>
          <w:rFonts w:ascii="Times New Roman" w:hAnsi="Times New Roman"/>
          <w:color w:val="000000"/>
          <w:sz w:val="24"/>
        </w:rPr>
      </w:pPr>
      <w:r>
        <w:rPr>
          <w:rFonts w:ascii="Times New Roman" w:hAnsi="Times New Roman"/>
          <w:color w:val="000000"/>
          <w:sz w:val="24"/>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sz w:val="20"/>
        </w:rPr>
      </w:pPr>
      <w:r>
        <w:rPr>
          <w:rFonts w:ascii="Times New Roman" w:hAnsi="Times New Roman"/>
          <w:b/>
          <w:i/>
          <w:color w:val="000000"/>
          <w:sz w:val="24"/>
        </w:rPr>
        <w:t>Use of Estimates.</w:t>
      </w:r>
      <w:r>
        <w:rPr>
          <w:rFonts w:ascii="Times New Roman" w:hAnsi="Times New Roman"/>
          <w:color w:val="000000"/>
          <w:sz w:val="20"/>
        </w:rPr>
        <w:t xml:space="preserve"> </w:t>
      </w:r>
      <w:r>
        <w:rPr>
          <w:rFonts w:ascii="Times New Roman" w:hAnsi="Times New Roman"/>
          <w:color w:val="000000"/>
          <w:sz w:val="24"/>
        </w:rPr>
        <w:t>The preparation of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estimates and those differences may be material.</w:t>
      </w:r>
    </w:p>
    <w:p>
      <w:pPr>
        <w:pStyle w:val="TextBody"/>
        <w:bidi w:val="0"/>
        <w:spacing w:before="200" w:after="283"/>
        <w:jc w:val="both"/>
        <w:rPr>
          <w:rFonts w:ascii="Times New Roman" w:hAnsi="Times New Roman"/>
          <w:sz w:val="20"/>
        </w:rPr>
      </w:pPr>
      <w:r>
        <w:rPr>
          <w:rFonts w:ascii="Times New Roman" w:hAnsi="Times New Roman"/>
          <w:b/>
          <w:i/>
          <w:color w:val="000000"/>
          <w:sz w:val="24"/>
        </w:rPr>
        <w:t>Revenue Recognition</w:t>
      </w:r>
      <w:r>
        <w:rPr>
          <w:rFonts w:ascii="Times New Roman" w:hAnsi="Times New Roman"/>
          <w:color w:val="000000"/>
          <w:sz w:val="24"/>
        </w:rPr>
        <w:t>. Revenue is recognized when (or as) the Company transfers promised goods or services to its customers in amounts that reflect the consideration to which the Company expects to be entitled to in exchange for those goods or services, which occurs when (or as) the Company satisfies its contractual obligations and transfers control of the promised goods or services to its customers. The Company recognizes revenue, net of sales taxes, based on its estimates of the consideration the Company expects to receive. Costs to obtain or fulfill a contract are expensed as incurred.</w:t>
      </w:r>
    </w:p>
    <w:p>
      <w:pPr>
        <w:pStyle w:val="TextBody"/>
        <w:bidi w:val="0"/>
        <w:spacing w:before="200" w:after="283"/>
        <w:jc w:val="both"/>
        <w:rPr>
          <w:rFonts w:ascii="Times New Roman" w:hAnsi="Times New Roman"/>
          <w:color w:val="000000"/>
          <w:sz w:val="24"/>
        </w:rPr>
      </w:pPr>
      <w:r>
        <w:rPr>
          <w:rFonts w:ascii="Times New Roman" w:hAnsi="Times New Roman"/>
          <w:color w:val="000000"/>
          <w:sz w:val="24"/>
        </w:rPr>
        <w:t>The Company earns revenue primarily from the time charter and bareboat charter of vessels to customers. Since the Company charges customers based upon daily rates of hire, vessel revenues are recognized on a daily basis throughout the contract period. Under a time charter, the Company provides a vessel to a customer and is responsible for all operating expenses, typically excluding fuel. Under a bareboat charter, the Company provides a vessel to a customer and the customer assumes responsibility for all operating expenses and assumes all risks of operation. In the Gulf of America, time charter durations and rates are typically established in the context of master service agreements that govern the terms and conditions of the charter.</w:t>
      </w:r>
    </w:p>
    <w:p>
      <w:pPr>
        <w:pStyle w:val="TextBody"/>
        <w:bidi w:val="0"/>
        <w:spacing w:before="200" w:after="283"/>
        <w:jc w:val="both"/>
        <w:rPr>
          <w:rFonts w:ascii="Times New Roman" w:hAnsi="Times New Roman"/>
          <w:color w:val="000000"/>
          <w:sz w:val="24"/>
        </w:rPr>
      </w:pPr>
      <w:r>
        <w:rPr>
          <w:rFonts w:ascii="Times New Roman" w:hAnsi="Times New Roman"/>
          <w:color w:val="000000"/>
          <w:sz w:val="24"/>
        </w:rPr>
        <w:t>In the Company’s operating areas, contracts or charters vary in length from several days to multi-year periods. Many of the Company’s contracts and charters include cancellation clauses without early termination penalties. As a result of cancellations, options and frequent renewals, the stated duration of charters may not correlate with the length of time the vessel is contracted for to provide services to a particular customer.</w:t>
      </w:r>
    </w:p>
    <w:p>
      <w:pPr>
        <w:pStyle w:val="TextBody"/>
        <w:bidi w:val="0"/>
        <w:spacing w:before="200" w:after="283"/>
        <w:jc w:val="both"/>
        <w:rPr>
          <w:rFonts w:ascii="Times New Roman" w:hAnsi="Times New Roman"/>
          <w:color w:val="000000"/>
          <w:sz w:val="24"/>
        </w:rPr>
      </w:pPr>
      <w:r>
        <w:rPr>
          <w:rFonts w:ascii="Times New Roman" w:hAnsi="Times New Roman"/>
          <w:color w:val="000000"/>
          <w:sz w:val="24"/>
        </w:rPr>
        <w:t>The Company contracts with various customers to carry out management services for vessels as agents for and on behalf of ship owners. These services include crew management, technical management, commercial management, insurance arrangements, sale and purchase of vessels, provisions and bunkering. As the manager of the vessels, the Company undertakes to use its best endeavors to provide the agreed management services as agents for and on behalf of the owners in accordance with sound ship management practice and to protect and promote the interest of the owners in all matters relating to the provision of services thereunder. The vast majority of the ship management agreements span one to three years and are typically billed on a monthly basis. The Company transfers control of the service to the customer and satisfies its performance obligation over the term of the contract, and therefore recognizes revenue over the term of the contract while related costs are expensed as incurred.</w:t>
      </w:r>
    </w:p>
    <w:p>
      <w:pPr>
        <w:pStyle w:val="TextBody"/>
        <w:bidi w:val="0"/>
        <w:spacing w:before="200" w:after="200"/>
        <w:jc w:val="both"/>
        <w:rPr>
          <w:rFonts w:ascii="Times New Roman" w:hAnsi="Times New Roman"/>
          <w:color w:val="000000"/>
          <w:sz w:val="24"/>
        </w:rPr>
      </w:pPr>
      <w:r>
        <w:rPr>
          <w:rFonts w:ascii="Times New Roman" w:hAnsi="Times New Roman"/>
          <w:color w:val="000000"/>
          <w:sz w:val="24"/>
        </w:rPr>
        <w:t>Revenue that does not meet these criteria is deferred and is considered a contract liability and is recognized as such until the criteria are met. Contract liabilities, which are included in unearned revenue in the accompanying consolidated balance sheets, as of June 30, 2026 and December 31, 2025 were as follows (in thousands):</w:t>
      </w:r>
    </w:p>
    <w:tbl>
      <w:tblPr>
        <w:tblW w:w="6630" w:type="dxa"/>
        <w:jc w:val="left"/>
        <w:tblInd w:w="0" w:type="dxa"/>
        <w:tblLayout w:type="fixed"/>
        <w:tblCellMar>
          <w:top w:w="28" w:type="dxa"/>
          <w:left w:w="28" w:type="dxa"/>
          <w:bottom w:w="28" w:type="dxa"/>
          <w:right w:w="28" w:type="dxa"/>
        </w:tblCellMar>
      </w:tblPr>
      <w:tblGrid>
        <w:gridCol w:w="3081"/>
        <w:gridCol w:w="146"/>
        <w:gridCol w:w="320"/>
        <w:gridCol w:w="835"/>
        <w:gridCol w:w="166"/>
        <w:gridCol w:w="146"/>
        <w:gridCol w:w="394"/>
        <w:gridCol w:w="1151"/>
        <w:gridCol w:w="391"/>
      </w:tblGrid>
      <w:tr>
        <w:trPr/>
        <w:tc>
          <w:tcPr>
            <w:tcW w:w="30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0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 at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1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2,534</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Unearned revenues during the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6,935</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Revenues recognized during the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(8,373</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 at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1,096</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both"/>
        <w:rPr>
          <w:rFonts w:ascii="Times New Roman" w:hAnsi="Times New Roman"/>
          <w:sz w:val="20"/>
        </w:rPr>
      </w:pPr>
      <w:r>
        <w:rPr>
          <w:rFonts w:ascii="Times New Roman" w:hAnsi="Times New Roman"/>
          <w:color w:val="000000"/>
          <w:sz w:val="24"/>
        </w:rPr>
        <w:t>As of June 30, 2026 and December 31, 2025, the Company had unearned revenue of $0.6</w:t>
      </w:r>
      <w:r>
        <w:rPr>
          <w:rFonts w:ascii="Times New Roman" w:hAnsi="Times New Roman"/>
          <w:color w:val="000000"/>
          <w:sz w:val="20"/>
        </w:rPr>
        <w:t xml:space="preserve"> </w:t>
      </w:r>
      <w:r>
        <w:rPr>
          <w:rFonts w:ascii="Times New Roman" w:hAnsi="Times New Roman"/>
          <w:color w:val="000000"/>
          <w:sz w:val="24"/>
        </w:rPr>
        <w:t>million and $1.1</w:t>
      </w:r>
      <w:r>
        <w:rPr>
          <w:rFonts w:ascii="Times New Roman" w:hAnsi="Times New Roman"/>
          <w:color w:val="000000"/>
          <w:sz w:val="20"/>
        </w:rPr>
        <w:t xml:space="preserve"> </w:t>
      </w:r>
      <w:r>
        <w:rPr>
          <w:rFonts w:ascii="Times New Roman" w:hAnsi="Times New Roman"/>
          <w:color w:val="000000"/>
          <w:sz w:val="24"/>
        </w:rPr>
        <w:t>million, respectively, primarily related to mobilization of vessels.</w:t>
      </w:r>
    </w:p>
    <w:p>
      <w:pPr>
        <w:pStyle w:val="TextBody"/>
        <w:bidi w:val="0"/>
        <w:spacing w:before="200" w:after="283"/>
        <w:jc w:val="both"/>
        <w:rPr>
          <w:rFonts w:ascii="Times New Roman" w:hAnsi="Times New Roman"/>
          <w:sz w:val="20"/>
        </w:rPr>
      </w:pPr>
      <w:r>
        <w:rPr>
          <w:rFonts w:ascii="Times New Roman" w:hAnsi="Times New Roman"/>
          <w:b/>
          <w:i/>
          <w:color w:val="000000"/>
          <w:sz w:val="24"/>
        </w:rPr>
        <w:t>Direct Operating Expenses.</w:t>
      </w:r>
      <w:r>
        <w:rPr>
          <w:rFonts w:ascii="Times New Roman" w:hAnsi="Times New Roman"/>
          <w:color w:val="000000"/>
          <w:sz w:val="20"/>
        </w:rPr>
        <w:t xml:space="preserve"> </w:t>
      </w:r>
      <w:r>
        <w:rPr>
          <w:rFonts w:ascii="Times New Roman" w:hAnsi="Times New Roman"/>
          <w:color w:val="000000"/>
          <w:sz w:val="24"/>
        </w:rPr>
        <w:t>Direct operating costs and expenses that are considered significant, other than leased-in equipment expense, consist primarily of costs and expenses such as: personnel; repairs and maintenance; drydocking; insurance and loss reserves; and fuel, lubes and supplies. Other direct operating</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Times New Roman" w:hAnsi="Times New Roman"/>
          <w:color w:val="000000"/>
          <w:sz w:val="24"/>
        </w:rPr>
      </w:pPr>
      <w:r>
        <w:rPr>
          <w:rFonts w:ascii="Times New Roman" w:hAnsi="Times New Roman"/>
          <w:color w:val="000000"/>
          <w:sz w:val="24"/>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4"/>
        </w:rPr>
      </w:pPr>
      <w:r>
        <w:rPr>
          <w:rFonts w:ascii="Times New Roman" w:hAnsi="Times New Roman"/>
          <w:color w:val="000000"/>
          <w:sz w:val="24"/>
        </w:rPr>
        <w:t>expenses consist of costs such as brokers’ commissions, communication costs, expenses incurred in mobilizing vessels between geographic regions, third party ship management fees, freight expenses, and customs and importation duties. Direct operating costs are expensed as incurred.</w:t>
      </w:r>
    </w:p>
    <w:p>
      <w:pPr>
        <w:pStyle w:val="TextBody"/>
        <w:bidi w:val="0"/>
        <w:spacing w:before="200" w:after="283"/>
        <w:jc w:val="both"/>
        <w:rPr>
          <w:rFonts w:ascii="Times New Roman" w:hAnsi="Times New Roman"/>
          <w:sz w:val="20"/>
        </w:rPr>
      </w:pPr>
      <w:r>
        <w:rPr>
          <w:rFonts w:ascii="Times New Roman" w:hAnsi="Times New Roman"/>
          <w:b/>
          <w:i/>
          <w:color w:val="000000"/>
          <w:sz w:val="24"/>
        </w:rPr>
        <w:t>Cash and Cash Equivalents.</w:t>
      </w:r>
      <w:r>
        <w:rPr>
          <w:rFonts w:ascii="Times New Roman" w:hAnsi="Times New Roman"/>
          <w:color w:val="000000"/>
          <w:sz w:val="20"/>
        </w:rPr>
        <w:t xml:space="preserve"> </w:t>
      </w:r>
      <w:r>
        <w:rPr>
          <w:rFonts w:ascii="Times New Roman" w:hAnsi="Times New Roman"/>
          <w:color w:val="000000"/>
          <w:sz w:val="24"/>
        </w:rPr>
        <w:t>The Company considers all highly liquid investments, with an original maturity of three months or less from the date purchased, to be cash equivalents.</w:t>
      </w:r>
    </w:p>
    <w:p>
      <w:pPr>
        <w:pStyle w:val="TextBody"/>
        <w:bidi w:val="0"/>
        <w:spacing w:before="200" w:after="283"/>
        <w:jc w:val="both"/>
        <w:rPr>
          <w:rFonts w:ascii="Times New Roman" w:hAnsi="Times New Roman"/>
          <w:sz w:val="20"/>
        </w:rPr>
      </w:pPr>
      <w:r>
        <w:rPr>
          <w:rFonts w:ascii="Times New Roman" w:hAnsi="Times New Roman"/>
          <w:b/>
          <w:i/>
          <w:color w:val="000000"/>
          <w:sz w:val="24"/>
        </w:rPr>
        <w:t xml:space="preserve">Restricted Cash. </w:t>
      </w:r>
      <w:r>
        <w:rPr>
          <w:rFonts w:ascii="Times New Roman" w:hAnsi="Times New Roman"/>
          <w:color w:val="000000"/>
          <w:sz w:val="24"/>
        </w:rPr>
        <w:t>Restricted cash primarily relates to banking and credit facility requirements.</w:t>
      </w:r>
    </w:p>
    <w:p>
      <w:pPr>
        <w:pStyle w:val="TextBody"/>
        <w:bidi w:val="0"/>
        <w:spacing w:before="200" w:after="283"/>
        <w:jc w:val="both"/>
        <w:rPr>
          <w:rFonts w:ascii="Times New Roman" w:hAnsi="Times New Roman"/>
          <w:sz w:val="20"/>
        </w:rPr>
      </w:pPr>
      <w:r>
        <w:rPr>
          <w:rFonts w:ascii="Times New Roman" w:hAnsi="Times New Roman"/>
          <w:b/>
          <w:i/>
          <w:color w:val="000000"/>
          <w:sz w:val="24"/>
        </w:rPr>
        <w:t>Trade and Other Receivables and Allowance for Credit Losses.</w:t>
      </w:r>
      <w:r>
        <w:rPr>
          <w:rFonts w:ascii="Times New Roman" w:hAnsi="Times New Roman"/>
          <w:color w:val="000000"/>
          <w:sz w:val="20"/>
        </w:rPr>
        <w:t xml:space="preserve"> </w:t>
      </w:r>
      <w:r>
        <w:rPr>
          <w:rFonts w:ascii="Times New Roman" w:hAnsi="Times New Roman"/>
          <w:color w:val="000000"/>
          <w:sz w:val="24"/>
        </w:rPr>
        <w:t>Customers are primarily major integrated national and international oil companies, large independent oil and natural gas exploration and production companies and established wind farm construction companies. Customers are granted credit on a short-term basis and the related credit risks are minimal. Other receivables consist primarily of operating expenses the Company incurs in relation to vessels it manages for other entities, as well as insurance and income tax receivables. The Company routinely reviews its receivables and makes provisions for expected credit losses utilizing the Current Expected Credit Losses model (“CECL”). The CECL model utilizes a lifetime expected credit loss measurement objective for the recognition of credit losses for loans and other receivables at the time the financial asset is originated or acquired. However, those provisions are estimates and actual results may materially differ from those estimates. After collection efforts have been exhausted, trade receivables that are deemed uncollectible are removed from both accounts receivable and the allowance for credit losses.</w:t>
      </w:r>
    </w:p>
    <w:p>
      <w:pPr>
        <w:pStyle w:val="TextBody"/>
        <w:bidi w:val="0"/>
        <w:spacing w:before="200" w:after="283"/>
        <w:jc w:val="both"/>
        <w:rPr>
          <w:rFonts w:ascii="Times New Roman" w:hAnsi="Times New Roman"/>
          <w:sz w:val="20"/>
        </w:rPr>
      </w:pPr>
      <w:r>
        <w:rPr>
          <w:rFonts w:ascii="Times New Roman" w:hAnsi="Times New Roman"/>
          <w:b/>
          <w:i/>
          <w:color w:val="000000"/>
          <w:sz w:val="24"/>
        </w:rPr>
        <w:t>Property and Equipment.</w:t>
      </w:r>
      <w:r>
        <w:rPr>
          <w:rFonts w:ascii="Times New Roman" w:hAnsi="Times New Roman"/>
          <w:color w:val="000000"/>
          <w:sz w:val="20"/>
        </w:rPr>
        <w:t xml:space="preserve"> </w:t>
      </w:r>
      <w:r>
        <w:rPr>
          <w:rFonts w:ascii="Times New Roman" w:hAnsi="Times New Roman"/>
          <w:color w:val="000000"/>
          <w:sz w:val="24"/>
        </w:rPr>
        <w:t>Equipment, stated at cost, is depreciated using the straight-line method over the estimated useful life of the asset to an estimated salvage value. With respect to each class of asset, the estimated useful life is based upon a newly built asset being placed into service and represents the time period beyond which it is typically not justifiable for the Company to continue to operate the asset in the same or similar manner. From time to time, the Company may acquire older vessels that have already exceeded the Company’s useful life policy, in which case the Company depreciates such assets based on its best estimate of the asset’s remaining useful life, typically the period until the next survey or certification date. As of June 30, 2026, the estimated useful life of the Company’s new offshore support vessels was 20</w:t>
      </w:r>
      <w:r>
        <w:rPr>
          <w:rFonts w:ascii="Times New Roman" w:hAnsi="Times New Roman"/>
          <w:color w:val="000000"/>
          <w:sz w:val="20"/>
        </w:rPr>
        <w:t xml:space="preserve"> </w:t>
      </w:r>
      <w:r>
        <w:rPr>
          <w:rFonts w:ascii="Times New Roman" w:hAnsi="Times New Roman"/>
          <w:color w:val="000000"/>
          <w:sz w:val="24"/>
        </w:rPr>
        <w:t>years.</w:t>
      </w:r>
    </w:p>
    <w:p>
      <w:pPr>
        <w:pStyle w:val="TextBody"/>
        <w:bidi w:val="0"/>
        <w:spacing w:before="200" w:after="283"/>
        <w:jc w:val="both"/>
        <w:rPr>
          <w:rFonts w:ascii="Times New Roman" w:hAnsi="Times New Roman"/>
          <w:color w:val="000000"/>
          <w:sz w:val="24"/>
        </w:rPr>
      </w:pPr>
      <w:r>
        <w:rPr>
          <w:rFonts w:ascii="Times New Roman" w:hAnsi="Times New Roman"/>
          <w:color w:val="000000"/>
          <w:sz w:val="24"/>
        </w:rPr>
        <w:t>Equipment maintenance and repair costs and the costs of routine overhauls, drydockings and inspections performed on vessels and equipment are charged to operating expense as incurred. Expenditures that extend the useful life or improve the marketing and commercial characteristics of equipment as well as major renewals and improvements to other properties are capitalized.</w:t>
      </w:r>
    </w:p>
    <w:p>
      <w:pPr>
        <w:pStyle w:val="TextBody"/>
        <w:bidi w:val="0"/>
        <w:spacing w:before="200" w:after="283"/>
        <w:jc w:val="both"/>
        <w:rPr>
          <w:rFonts w:ascii="Times New Roman" w:hAnsi="Times New Roman"/>
          <w:sz w:val="20"/>
        </w:rPr>
      </w:pPr>
      <w:r>
        <w:rPr>
          <w:rFonts w:ascii="Times New Roman" w:hAnsi="Times New Roman"/>
          <w:color w:val="000000"/>
          <w:sz w:val="24"/>
        </w:rPr>
        <w:t>Certain interest costs incurred during the construction of equipment are capitalized as part of the assets’ carrying values and are amortized over such assets’ estimated useful lives. There was $2.1</w:t>
      </w:r>
      <w:r>
        <w:rPr>
          <w:rFonts w:ascii="Times New Roman" w:hAnsi="Times New Roman"/>
          <w:color w:val="000000"/>
          <w:sz w:val="20"/>
        </w:rPr>
        <w:t xml:space="preserve"> </w:t>
      </w:r>
      <w:r>
        <w:rPr>
          <w:rFonts w:ascii="Times New Roman" w:hAnsi="Times New Roman"/>
          <w:color w:val="000000"/>
          <w:sz w:val="24"/>
        </w:rPr>
        <w:t>million of capitalized interest recognized during the six months ended June 30, 2026</w:t>
      </w:r>
      <w:r>
        <w:rPr>
          <w:rFonts w:ascii="Times New Roman" w:hAnsi="Times New Roman"/>
          <w:color w:val="000000"/>
          <w:sz w:val="20"/>
        </w:rPr>
        <w:t xml:space="preserve"> </w:t>
      </w:r>
      <w:r>
        <w:rPr>
          <w:rFonts w:ascii="Times New Roman" w:hAnsi="Times New Roman"/>
          <w:color w:val="000000"/>
          <w:sz w:val="24"/>
        </w:rPr>
        <w:t>and $0.8</w:t>
      </w:r>
      <w:r>
        <w:rPr>
          <w:rFonts w:ascii="Times New Roman" w:hAnsi="Times New Roman"/>
          <w:color w:val="000000"/>
          <w:sz w:val="20"/>
        </w:rPr>
        <w:t xml:space="preserve"> </w:t>
      </w:r>
      <w:r>
        <w:rPr>
          <w:rFonts w:ascii="Times New Roman" w:hAnsi="Times New Roman"/>
          <w:color w:val="000000"/>
          <w:sz w:val="24"/>
        </w:rPr>
        <w:t>million of capitalized interest recognized during the six months ended June 30, 2025.</w:t>
      </w:r>
    </w:p>
    <w:p>
      <w:pPr>
        <w:pStyle w:val="TextBody"/>
        <w:bidi w:val="0"/>
        <w:spacing w:before="200" w:after="283"/>
        <w:jc w:val="both"/>
        <w:rPr>
          <w:rFonts w:ascii="Times New Roman" w:hAnsi="Times New Roman"/>
          <w:sz w:val="20"/>
        </w:rPr>
      </w:pPr>
      <w:r>
        <w:rPr>
          <w:rFonts w:ascii="Times New Roman" w:hAnsi="Times New Roman"/>
          <w:b/>
          <w:i/>
          <w:color w:val="000000"/>
          <w:sz w:val="24"/>
        </w:rPr>
        <w:t>Impairment of Long-Lived Assets.</w:t>
      </w:r>
      <w:r>
        <w:rPr>
          <w:rFonts w:ascii="Times New Roman" w:hAnsi="Times New Roman"/>
          <w:color w:val="000000"/>
          <w:sz w:val="20"/>
        </w:rPr>
        <w:t xml:space="preserve"> </w:t>
      </w:r>
      <w:r>
        <w:rPr>
          <w:rFonts w:ascii="Times New Roman" w:hAnsi="Times New Roman"/>
          <w:color w:val="000000"/>
          <w:sz w:val="24"/>
        </w:rPr>
        <w:t>The Company performs an impairment analysis of long-lived assets used in operations when indicators of impairment are present. These indicators may include a significant decrease in the market price of a long-lived asset or asset group, a significant adverse change in the extent or manner in which a long-lived asset or asset group is being used or in its physical condition, or a current period operating or cash flow loss combined with a history of operating or cash flow losses or a forecast that demonstrates continuing losses associated with the use of a long-lived asset or asset group. If the carrying values of the assets are not recoverable, as determined by their estimated future undiscounted cash flows, the estimated fair value of the assets or asset groups are compared to their current carrying values and impairment charges are recorded if the carrying value exceeds fair value.</w:t>
      </w:r>
    </w:p>
    <w:p>
      <w:pPr>
        <w:pStyle w:val="TextBody"/>
        <w:bidi w:val="0"/>
        <w:spacing w:before="200" w:after="283"/>
        <w:jc w:val="both"/>
        <w:rPr>
          <w:rFonts w:ascii="Times New Roman" w:hAnsi="Times New Roman"/>
          <w:sz w:val="20"/>
        </w:rPr>
      </w:pPr>
      <w:r>
        <w:rPr>
          <w:rFonts w:ascii="Times New Roman" w:hAnsi="Times New Roman"/>
          <w:color w:val="000000"/>
          <w:sz w:val="24"/>
        </w:rPr>
        <w:t>During the six months ended June 30, 2026 and 2025, the Company did not record impairment</w:t>
      </w:r>
      <w:r>
        <w:rPr>
          <w:rFonts w:ascii="Times New Roman" w:hAnsi="Times New Roman"/>
          <w:color w:val="000000"/>
          <w:sz w:val="20"/>
        </w:rPr>
        <w:t xml:space="preserve"> </w:t>
      </w:r>
      <w:r>
        <w:rPr>
          <w:rFonts w:ascii="Times New Roman" w:hAnsi="Times New Roman"/>
          <w:color w:val="000000"/>
          <w:sz w:val="24"/>
        </w:rPr>
        <w:t>charges on any owned vessels. Impairment charges are included in gains (losses) on asset dispositions and impairments in the accompanying consolidated statements of income (loss). Estimated fair values for the Company-owned</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Times New Roman" w:hAnsi="Times New Roman"/>
          <w:color w:val="000000"/>
          <w:sz w:val="24"/>
        </w:rPr>
      </w:pPr>
      <w:r>
        <w:rPr>
          <w:rFonts w:ascii="Times New Roman" w:hAnsi="Times New Roman"/>
          <w:color w:val="000000"/>
          <w:sz w:val="24"/>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4"/>
        </w:rPr>
      </w:pPr>
      <w:r>
        <w:rPr>
          <w:rFonts w:ascii="Times New Roman" w:hAnsi="Times New Roman"/>
          <w:color w:val="000000"/>
          <w:sz w:val="24"/>
        </w:rPr>
        <w:t>vessels were established by independent appraisers based on researched market information, replacement cost information and other data.</w:t>
      </w:r>
    </w:p>
    <w:p>
      <w:pPr>
        <w:pStyle w:val="TextBody"/>
        <w:bidi w:val="0"/>
        <w:spacing w:before="200" w:after="283"/>
        <w:jc w:val="both"/>
        <w:rPr>
          <w:rFonts w:ascii="Times New Roman" w:hAnsi="Times New Roman"/>
          <w:color w:val="000000"/>
          <w:sz w:val="24"/>
        </w:rPr>
      </w:pPr>
      <w:r>
        <w:rPr>
          <w:rFonts w:ascii="Times New Roman" w:hAnsi="Times New Roman"/>
          <w:color w:val="000000"/>
          <w:sz w:val="24"/>
        </w:rPr>
        <w:t>For vessel classes and individual vessels with indicators of impairment as of June 30, 2026, the Company assessed that their estimated fair value exceeds their current carrying values. For any vessel or vessel class that has indicators of impairment and is deemed not recoverable through future operations, the Company determines the fair value of the vessel or vessel class. If the fair value determination is less than the carrying value of the vessel or vessel class, an impairment is recognized to reduce the carrying value to fair value. Fair value determination is primarily accomplished by obtaining independent valuations of vessel or vessel classes from qualified third-party appraisers and other market data such as recent sales of similar vessels.</w:t>
      </w:r>
    </w:p>
    <w:p>
      <w:pPr>
        <w:pStyle w:val="TextBody"/>
        <w:bidi w:val="0"/>
        <w:spacing w:before="200" w:after="283"/>
        <w:jc w:val="both"/>
        <w:rPr>
          <w:rFonts w:ascii="Times New Roman" w:hAnsi="Times New Roman"/>
          <w:sz w:val="20"/>
        </w:rPr>
      </w:pPr>
      <w:r>
        <w:rPr>
          <w:rFonts w:ascii="Times New Roman" w:hAnsi="Times New Roman"/>
          <w:b/>
          <w:i/>
          <w:color w:val="000000"/>
          <w:sz w:val="24"/>
        </w:rPr>
        <w:t xml:space="preserve">Impairment of </w:t>
      </w:r>
      <w:r>
        <w:rPr>
          <w:rFonts w:ascii="Times New Roman" w:hAnsi="Times New Roman"/>
          <w:b/>
          <w:color w:val="000000"/>
          <w:sz w:val="24"/>
        </w:rPr>
        <w:t>50%</w:t>
      </w:r>
      <w:r>
        <w:rPr>
          <w:rFonts w:ascii="Times New Roman" w:hAnsi="Times New Roman"/>
          <w:color w:val="000000"/>
          <w:sz w:val="20"/>
        </w:rPr>
        <w:t xml:space="preserve"> </w:t>
      </w:r>
      <w:r>
        <w:rPr>
          <w:rFonts w:ascii="Times New Roman" w:hAnsi="Times New Roman"/>
          <w:b/>
          <w:i/>
          <w:color w:val="000000"/>
          <w:sz w:val="24"/>
        </w:rPr>
        <w:t>or Less Owned Companies.</w:t>
      </w:r>
      <w:r>
        <w:rPr>
          <w:rFonts w:ascii="Times New Roman" w:hAnsi="Times New Roman"/>
          <w:color w:val="000000"/>
          <w:sz w:val="20"/>
        </w:rPr>
        <w:t xml:space="preserve"> </w:t>
      </w:r>
      <w:r>
        <w:rPr>
          <w:rFonts w:ascii="Times New Roman" w:hAnsi="Times New Roman"/>
          <w:color w:val="000000"/>
          <w:sz w:val="24"/>
        </w:rPr>
        <w:t>Investments in 50% or less owned companies are reviewed periodically to assess whether there is an other-than-temporary decline in the carrying value of the investment. In its evaluation, the Company considers, among other items, recent and expected financial performance and returns, impairments recorded by the investee and the capital structure of the investee. When the Company determines the estimated fair value of an investment is below carrying value and the decline is other-than-temporary, the investment is written down to its estimated fair value. Actual results may vary from the Company’s estimates due to the uncertainty regarding projected financial performance, the severity and expected duration of declines in value and the available liquidity in the capital markets to support the continuing operations of the investee, among other factors. Although the Company believes its assumptions and estimates are reasonable, the investee’s actual performance compared with the estimates could produce different results and lead to additional impairment charges in future periods. During the six months ended June 30, 2026 and 2025, the Company did not recognize any impairment charges related to its 50% or less owned companies.</w:t>
      </w:r>
    </w:p>
    <w:p>
      <w:pPr>
        <w:pStyle w:val="TextBody"/>
        <w:bidi w:val="0"/>
        <w:spacing w:before="200" w:after="283"/>
        <w:jc w:val="both"/>
        <w:rPr>
          <w:rFonts w:ascii="Times New Roman" w:hAnsi="Times New Roman"/>
          <w:sz w:val="20"/>
        </w:rPr>
      </w:pPr>
      <w:r>
        <w:rPr>
          <w:rFonts w:ascii="Times New Roman" w:hAnsi="Times New Roman"/>
          <w:b/>
          <w:i/>
          <w:color w:val="000000"/>
          <w:sz w:val="24"/>
        </w:rPr>
        <w:t>Income Taxes.</w:t>
      </w:r>
      <w:r>
        <w:rPr>
          <w:rFonts w:ascii="Times New Roman" w:hAnsi="Times New Roman"/>
          <w:color w:val="000000"/>
          <w:sz w:val="20"/>
        </w:rPr>
        <w:t xml:space="preserve"> </w:t>
      </w:r>
      <w:r>
        <w:rPr>
          <w:rFonts w:ascii="Times New Roman" w:hAnsi="Times New Roman"/>
          <w:color w:val="000000"/>
          <w:sz w:val="24"/>
        </w:rPr>
        <w:t>During the six months ended June 30, 2026, the Company’s effective income tax rate of 95.4% was primarily due to foreign taxes paid that are not creditable against U.S. income taxes and foreign losses for which there is no benefit in the U.S. for income tax purposes.</w:t>
      </w:r>
    </w:p>
    <w:p>
      <w:pPr>
        <w:pStyle w:val="TextBody"/>
        <w:bidi w:val="0"/>
        <w:spacing w:before="200" w:after="283"/>
        <w:jc w:val="both"/>
        <w:rPr>
          <w:rFonts w:ascii="Times New Roman" w:hAnsi="Times New Roman"/>
          <w:sz w:val="20"/>
        </w:rPr>
      </w:pPr>
      <w:r>
        <w:rPr>
          <w:rFonts w:ascii="Times New Roman" w:hAnsi="Times New Roman"/>
          <w:b/>
          <w:i/>
          <w:color w:val="000000"/>
          <w:sz w:val="24"/>
        </w:rPr>
        <w:t>Earnings</w:t>
      </w:r>
      <w:r>
        <w:rPr>
          <w:rFonts w:ascii="Times New Roman" w:hAnsi="Times New Roman"/>
          <w:color w:val="000000"/>
          <w:sz w:val="20"/>
        </w:rPr>
        <w:t xml:space="preserve"> </w:t>
      </w:r>
      <w:r>
        <w:rPr>
          <w:rFonts w:ascii="Times New Roman" w:hAnsi="Times New Roman"/>
          <w:color w:val="000000"/>
          <w:sz w:val="24"/>
        </w:rPr>
        <w:t>(</w:t>
      </w:r>
      <w:r>
        <w:rPr>
          <w:rFonts w:ascii="Times New Roman" w:hAnsi="Times New Roman"/>
          <w:b/>
          <w:i/>
          <w:color w:val="000000"/>
          <w:sz w:val="24"/>
        </w:rPr>
        <w:t>Loss) Per Share.</w:t>
      </w:r>
      <w:r>
        <w:rPr>
          <w:rFonts w:ascii="Times New Roman" w:hAnsi="Times New Roman"/>
          <w:color w:val="000000"/>
          <w:sz w:val="20"/>
        </w:rPr>
        <w:t xml:space="preserve"> </w:t>
      </w:r>
      <w:r>
        <w:rPr>
          <w:rFonts w:ascii="Times New Roman" w:hAnsi="Times New Roman"/>
          <w:color w:val="000000"/>
          <w:sz w:val="24"/>
        </w:rPr>
        <w:t>Basic earnings/loss per share of Common Stock of SEACOR Marine is computed based on the weighted average number of shares of Common Stock and warrants to purchase Common Stock at an exercise price of $0.01</w:t>
      </w:r>
      <w:r>
        <w:rPr>
          <w:rFonts w:ascii="Times New Roman" w:hAnsi="Times New Roman"/>
          <w:color w:val="000000"/>
          <w:sz w:val="20"/>
        </w:rPr>
        <w:t xml:space="preserve"> </w:t>
      </w:r>
      <w:r>
        <w:rPr>
          <w:rFonts w:ascii="Times New Roman" w:hAnsi="Times New Roman"/>
          <w:color w:val="000000"/>
          <w:sz w:val="24"/>
        </w:rPr>
        <w:t>per share (“Warrants”) issued and outstanding during the relevant periods. The Warrants are included in the basic earnings/loss per share of Common Stock because the shares issuable upon exercise of the Warrants are issuable for de minimis cash consideration and therefore not anti-dilutive. Diluted earnings/loss per share of Common Stock is computed based on the weighted average number of shares of Common Stock and Warrants issued and outstanding plus the effect of other potentially dilutive securities through the application of the treasury stock method and the if-converted method that assumes all shares of Common Stock have been issued and outstanding during the relevant periods pursuant to the conversion of the New Convertible Notes unless anti-dilutive. As of June 30, 2025, the Company no longer had any warrants to purchase Common Stock outstanding as a result of the completion of the Securities Repurchase as previously described in the 2025 Annual Report.</w:t>
      </w:r>
    </w:p>
    <w:p>
      <w:pPr>
        <w:pStyle w:val="TextBody"/>
        <w:bidi w:val="0"/>
        <w:spacing w:before="200" w:after="283"/>
        <w:jc w:val="both"/>
        <w:rPr>
          <w:rFonts w:ascii="Times New Roman" w:hAnsi="Times New Roman"/>
          <w:sz w:val="20"/>
        </w:rPr>
      </w:pPr>
      <w:r>
        <w:rPr>
          <w:rFonts w:ascii="Times New Roman" w:hAnsi="Times New Roman"/>
          <w:color w:val="000000"/>
          <w:sz w:val="24"/>
        </w:rPr>
        <w:t>For the three months ended June 30, 2026, diluted earnings per share of Common Stock included 204,531</w:t>
      </w:r>
      <w:r>
        <w:rPr>
          <w:rFonts w:ascii="Times New Roman" w:hAnsi="Times New Roman"/>
          <w:color w:val="000000"/>
          <w:sz w:val="20"/>
        </w:rPr>
        <w:t xml:space="preserve"> </w:t>
      </w:r>
      <w:r>
        <w:rPr>
          <w:rFonts w:ascii="Times New Roman" w:hAnsi="Times New Roman"/>
          <w:color w:val="000000"/>
          <w:sz w:val="24"/>
        </w:rPr>
        <w:t>shares of restricted stock and 76,881</w:t>
      </w:r>
      <w:r>
        <w:rPr>
          <w:rFonts w:ascii="Times New Roman" w:hAnsi="Times New Roman"/>
          <w:color w:val="000000"/>
          <w:sz w:val="20"/>
        </w:rPr>
        <w:t xml:space="preserve"> </w:t>
      </w:r>
      <w:r>
        <w:rPr>
          <w:rFonts w:ascii="Times New Roman" w:hAnsi="Times New Roman"/>
          <w:color w:val="000000"/>
          <w:sz w:val="24"/>
        </w:rPr>
        <w:t>shares of Common Stock, issuable upon exercise of outstanding stock options, as the effect of their inclusion in the computation would be dilutive. For the three months ended June 30, 2026 and 2025, diluted earnings (loss) per share of Common Stock excluded 772,783</w:t>
      </w:r>
      <w:r>
        <w:rPr>
          <w:rFonts w:ascii="Times New Roman" w:hAnsi="Times New Roman"/>
          <w:color w:val="000000"/>
          <w:sz w:val="20"/>
        </w:rPr>
        <w:t xml:space="preserve"> </w:t>
      </w:r>
      <w:r>
        <w:rPr>
          <w:rFonts w:ascii="Times New Roman" w:hAnsi="Times New Roman"/>
          <w:color w:val="000000"/>
          <w:sz w:val="24"/>
        </w:rPr>
        <w:t>and 1,349,373</w:t>
      </w:r>
      <w:r>
        <w:rPr>
          <w:rFonts w:ascii="Times New Roman" w:hAnsi="Times New Roman"/>
          <w:color w:val="000000"/>
          <w:sz w:val="20"/>
        </w:rPr>
        <w:t xml:space="preserve"> </w:t>
      </w:r>
      <w:r>
        <w:rPr>
          <w:rFonts w:ascii="Times New Roman" w:hAnsi="Times New Roman"/>
          <w:color w:val="000000"/>
          <w:sz w:val="24"/>
        </w:rPr>
        <w:t>shares of restricted stock, respectively, and 929,484</w:t>
      </w:r>
      <w:r>
        <w:rPr>
          <w:rFonts w:ascii="Times New Roman" w:hAnsi="Times New Roman"/>
          <w:color w:val="000000"/>
          <w:sz w:val="20"/>
        </w:rPr>
        <w:t xml:space="preserve"> </w:t>
      </w:r>
      <w:r>
        <w:rPr>
          <w:rFonts w:ascii="Times New Roman" w:hAnsi="Times New Roman"/>
          <w:color w:val="000000"/>
          <w:sz w:val="24"/>
        </w:rPr>
        <w:t>and 1,008,865</w:t>
      </w:r>
      <w:r>
        <w:rPr>
          <w:rFonts w:ascii="Times New Roman" w:hAnsi="Times New Roman"/>
          <w:color w:val="000000"/>
          <w:sz w:val="20"/>
        </w:rPr>
        <w:t xml:space="preserve"> </w:t>
      </w:r>
      <w:r>
        <w:rPr>
          <w:rFonts w:ascii="Times New Roman" w:hAnsi="Times New Roman"/>
          <w:color w:val="000000"/>
          <w:sz w:val="24"/>
        </w:rPr>
        <w:t>shares of Common Stock, respectively, issuable upon exercise of outstanding stock options, as the effect of their inclusion in the computation would be anti-dilutive.</w:t>
      </w:r>
    </w:p>
    <w:p>
      <w:pPr>
        <w:pStyle w:val="TextBody"/>
        <w:bidi w:val="0"/>
        <w:spacing w:before="200" w:after="283"/>
        <w:jc w:val="both"/>
        <w:rPr>
          <w:rFonts w:ascii="Times New Roman" w:hAnsi="Times New Roman"/>
          <w:sz w:val="20"/>
        </w:rPr>
      </w:pPr>
      <w:r>
        <w:rPr>
          <w:rFonts w:ascii="Times New Roman" w:hAnsi="Times New Roman"/>
          <w:color w:val="000000"/>
          <w:sz w:val="24"/>
        </w:rPr>
        <w:t>For the six months ended June 30, 2026 and 2025, diluted loss per share of Common Stock excluded 977,314</w:t>
      </w:r>
      <w:r>
        <w:rPr>
          <w:rFonts w:ascii="Times New Roman" w:hAnsi="Times New Roman"/>
          <w:color w:val="000000"/>
          <w:sz w:val="20"/>
        </w:rPr>
        <w:t xml:space="preserve"> </w:t>
      </w:r>
      <w:r>
        <w:rPr>
          <w:rFonts w:ascii="Times New Roman" w:hAnsi="Times New Roman"/>
          <w:color w:val="000000"/>
          <w:sz w:val="24"/>
        </w:rPr>
        <w:t>and 1,349,373</w:t>
      </w:r>
      <w:r>
        <w:rPr>
          <w:rFonts w:ascii="Times New Roman" w:hAnsi="Times New Roman"/>
          <w:color w:val="000000"/>
          <w:sz w:val="20"/>
        </w:rPr>
        <w:t xml:space="preserve"> </w:t>
      </w:r>
      <w:r>
        <w:rPr>
          <w:rFonts w:ascii="Times New Roman" w:hAnsi="Times New Roman"/>
          <w:color w:val="000000"/>
          <w:sz w:val="24"/>
        </w:rPr>
        <w:t>shares of restricted stock, respectively, and 1,006,365</w:t>
      </w:r>
      <w:r>
        <w:rPr>
          <w:rFonts w:ascii="Times New Roman" w:hAnsi="Times New Roman"/>
          <w:color w:val="000000"/>
          <w:sz w:val="20"/>
        </w:rPr>
        <w:t xml:space="preserve"> </w:t>
      </w:r>
      <w:r>
        <w:rPr>
          <w:rFonts w:ascii="Times New Roman" w:hAnsi="Times New Roman"/>
          <w:color w:val="000000"/>
          <w:sz w:val="24"/>
        </w:rPr>
        <w:t>and 1,008,865</w:t>
      </w:r>
      <w:r>
        <w:rPr>
          <w:rFonts w:ascii="Times New Roman" w:hAnsi="Times New Roman"/>
          <w:color w:val="000000"/>
          <w:sz w:val="20"/>
        </w:rPr>
        <w:t xml:space="preserve"> </w:t>
      </w:r>
      <w:r>
        <w:rPr>
          <w:rFonts w:ascii="Times New Roman" w:hAnsi="Times New Roman"/>
          <w:color w:val="000000"/>
          <w:sz w:val="24"/>
        </w:rPr>
        <w:t>shares of Common Stock, respectively, issuable upon exercise of outstanding stock options, as the effect of their inclusion in the computation would be anti-dilutive.</w:t>
      </w:r>
    </w:p>
    <w:p>
      <w:pPr>
        <w:pStyle w:val="TextBody"/>
        <w:bidi w:val="0"/>
        <w:jc w:val="center"/>
        <w:rPr/>
      </w:pPr>
      <w:r>
        <w:rPr/>
        <w:t> </w:t>
      </w:r>
    </w:p>
    <w:p>
      <w:pPr>
        <w:pStyle w:val="TextBody"/>
        <w:bidi w:val="0"/>
        <w:jc w:val="center"/>
        <w:rPr>
          <w:rFonts w:ascii="Times New Roman" w:hAnsi="Times New Roman"/>
          <w:color w:val="000000"/>
          <w:sz w:val="24"/>
        </w:rPr>
      </w:pPr>
      <w:r>
        <w:rPr>
          <w:rFonts w:ascii="Times New Roman" w:hAnsi="Times New Roman"/>
          <w:color w:val="000000"/>
          <w:sz w:val="24"/>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b/>
          <w:color w:val="222222"/>
          <w:sz w:val="24"/>
        </w:rPr>
      </w:pPr>
      <w:r>
        <w:rPr>
          <w:rFonts w:ascii="Times New Roman" w:hAnsi="Times New Roman"/>
          <w:b/>
          <w:color w:val="222222"/>
          <w:sz w:val="24"/>
        </w:rPr>
        <w:t>2.</w:t>
      </w:r>
    </w:p>
    <w:p>
      <w:pPr>
        <w:pStyle w:val="TextBody"/>
        <w:bidi w:val="0"/>
        <w:spacing w:before="200" w:after="283"/>
        <w:jc w:val="both"/>
        <w:rPr>
          <w:rFonts w:ascii="Times New Roman" w:hAnsi="Times New Roman"/>
          <w:b/>
          <w:color w:val="222222"/>
          <w:sz w:val="24"/>
        </w:rPr>
      </w:pPr>
      <w:r>
        <w:rPr>
          <w:rFonts w:ascii="Times New Roman" w:hAnsi="Times New Roman"/>
          <w:b/>
          <w:color w:val="222222"/>
          <w:sz w:val="24"/>
        </w:rPr>
        <w:t>EQUIPMENT ACQUISITIONS AND DISPOSITIONS</w:t>
      </w:r>
    </w:p>
    <w:p>
      <w:pPr>
        <w:pStyle w:val="TextBody"/>
        <w:bidi w:val="0"/>
        <w:spacing w:before="200" w:after="283"/>
        <w:jc w:val="both"/>
        <w:rPr>
          <w:rFonts w:ascii="Times New Roman" w:hAnsi="Times New Roman"/>
          <w:sz w:val="20"/>
        </w:rPr>
      </w:pPr>
      <w:r>
        <w:rPr>
          <w:rFonts w:ascii="Times New Roman" w:hAnsi="Times New Roman"/>
          <w:color w:val="222222"/>
          <w:sz w:val="24"/>
        </w:rPr>
        <w:t xml:space="preserve">During the six months ended June 30, 2026, capital expenditures were </w:t>
      </w:r>
      <w:r>
        <w:rPr>
          <w:rFonts w:ascii="Times New Roman" w:hAnsi="Times New Roman"/>
          <w:color w:val="000000"/>
          <w:sz w:val="24"/>
        </w:rPr>
        <w:t>$12.5</w:t>
      </w:r>
      <w:r>
        <w:rPr>
          <w:rFonts w:ascii="Times New Roman" w:hAnsi="Times New Roman"/>
          <w:color w:val="000000"/>
          <w:sz w:val="20"/>
        </w:rPr>
        <w:t xml:space="preserve"> </w:t>
      </w:r>
      <w:r>
        <w:rPr>
          <w:rFonts w:ascii="Times New Roman" w:hAnsi="Times New Roman"/>
          <w:color w:val="000000"/>
          <w:sz w:val="24"/>
        </w:rPr>
        <w:t>million and there were no</w:t>
      </w:r>
      <w:r>
        <w:rPr>
          <w:rFonts w:ascii="Times New Roman" w:hAnsi="Times New Roman"/>
          <w:color w:val="000000"/>
          <w:sz w:val="20"/>
        </w:rPr>
        <w:t xml:space="preserve"> </w:t>
      </w:r>
      <w:r>
        <w:rPr>
          <w:rFonts w:ascii="Times New Roman" w:hAnsi="Times New Roman"/>
          <w:color w:val="000000"/>
          <w:sz w:val="24"/>
        </w:rPr>
        <w:t xml:space="preserve">equipment deliveries. </w:t>
      </w:r>
      <w:r>
        <w:rPr>
          <w:rFonts w:ascii="Times New Roman" w:hAnsi="Times New Roman"/>
          <w:color w:val="222222"/>
          <w:sz w:val="24"/>
        </w:rPr>
        <w:t>During the six months ended June 30, 2026, the Company sold three</w:t>
      </w:r>
      <w:r>
        <w:rPr>
          <w:rFonts w:ascii="Times New Roman" w:hAnsi="Times New Roman"/>
          <w:color w:val="222222"/>
          <w:sz w:val="20"/>
        </w:rPr>
        <w:t xml:space="preserve"> </w:t>
      </w:r>
      <w:r>
        <w:rPr>
          <w:rFonts w:ascii="Times New Roman" w:hAnsi="Times New Roman"/>
          <w:color w:val="222222"/>
          <w:sz w:val="24"/>
        </w:rPr>
        <w:t xml:space="preserve">platform supply vessels </w:t>
      </w:r>
      <w:r>
        <w:rPr>
          <w:rFonts w:ascii="Times New Roman" w:hAnsi="Times New Roman"/>
          <w:color w:val="000000"/>
          <w:sz w:val="24"/>
        </w:rPr>
        <w:t>(“PSV”), two</w:t>
      </w:r>
      <w:r>
        <w:rPr>
          <w:rFonts w:ascii="Times New Roman" w:hAnsi="Times New Roman"/>
          <w:color w:val="000000"/>
          <w:sz w:val="20"/>
        </w:rPr>
        <w:t xml:space="preserve"> </w:t>
      </w:r>
      <w:r>
        <w:rPr>
          <w:rFonts w:ascii="Times New Roman" w:hAnsi="Times New Roman"/>
          <w:color w:val="000000"/>
          <w:sz w:val="24"/>
        </w:rPr>
        <w:t>liftboats and one</w:t>
      </w:r>
      <w:r>
        <w:rPr>
          <w:rFonts w:ascii="Times New Roman" w:hAnsi="Times New Roman"/>
          <w:color w:val="000000"/>
          <w:sz w:val="20"/>
        </w:rPr>
        <w:t xml:space="preserve"> </w:t>
      </w:r>
      <w:r>
        <w:rPr>
          <w:rFonts w:ascii="Times New Roman" w:hAnsi="Times New Roman"/>
          <w:color w:val="000000"/>
          <w:sz w:val="24"/>
        </w:rPr>
        <w:t>fast</w:t>
      </w:r>
      <w:r>
        <w:rPr>
          <w:rFonts w:ascii="Times New Roman" w:hAnsi="Times New Roman"/>
          <w:color w:val="222222"/>
          <w:sz w:val="20"/>
        </w:rPr>
        <w:t xml:space="preserve"> </w:t>
      </w:r>
      <w:r>
        <w:rPr>
          <w:rFonts w:ascii="Times New Roman" w:hAnsi="Times New Roman"/>
          <w:color w:val="222222"/>
          <w:sz w:val="24"/>
        </w:rPr>
        <w:t xml:space="preserve">support vessel </w:t>
      </w:r>
      <w:r>
        <w:rPr>
          <w:rFonts w:ascii="Times New Roman" w:hAnsi="Times New Roman"/>
          <w:color w:val="000000"/>
          <w:sz w:val="24"/>
        </w:rPr>
        <w:t>(“FSV”)</w:t>
      </w:r>
      <w:r>
        <w:rPr>
          <w:rFonts w:ascii="Times New Roman" w:hAnsi="Times New Roman"/>
          <w:color w:val="222222"/>
          <w:sz w:val="24"/>
        </w:rPr>
        <w:t xml:space="preserve">, each previously classified as held for sale, and other equipment </w:t>
      </w:r>
      <w:r>
        <w:rPr>
          <w:rFonts w:ascii="Times New Roman" w:hAnsi="Times New Roman"/>
          <w:color w:val="000000"/>
          <w:sz w:val="24"/>
        </w:rPr>
        <w:t>for net cash proceeds of $57.5</w:t>
      </w:r>
      <w:r>
        <w:rPr>
          <w:rFonts w:ascii="Times New Roman" w:hAnsi="Times New Roman"/>
          <w:color w:val="000000"/>
          <w:sz w:val="20"/>
        </w:rPr>
        <w:t xml:space="preserve"> </w:t>
      </w:r>
      <w:r>
        <w:rPr>
          <w:rFonts w:ascii="Times New Roman" w:hAnsi="Times New Roman"/>
          <w:color w:val="000000"/>
          <w:sz w:val="24"/>
        </w:rPr>
        <w:t>million after transaction costs, for a gain of $38.8</w:t>
      </w:r>
      <w:r>
        <w:rPr>
          <w:rFonts w:ascii="Times New Roman" w:hAnsi="Times New Roman"/>
          <w:color w:val="000000"/>
          <w:sz w:val="20"/>
        </w:rPr>
        <w:t xml:space="preserve"> </w:t>
      </w:r>
      <w:r>
        <w:rPr>
          <w:rFonts w:ascii="Times New Roman" w:hAnsi="Times New Roman"/>
          <w:color w:val="000000"/>
          <w:sz w:val="24"/>
        </w:rPr>
        <w:t>million. During the six months ended June 30, 2025, the Company sold two</w:t>
      </w:r>
      <w:r>
        <w:rPr>
          <w:rFonts w:ascii="Times New Roman" w:hAnsi="Times New Roman"/>
          <w:color w:val="000000"/>
          <w:sz w:val="20"/>
        </w:rPr>
        <w:t xml:space="preserve"> </w:t>
      </w:r>
      <w:r>
        <w:rPr>
          <w:rFonts w:ascii="Times New Roman" w:hAnsi="Times New Roman"/>
          <w:color w:val="000000"/>
          <w:sz w:val="24"/>
        </w:rPr>
        <w:t>PSVs and one</w:t>
      </w:r>
      <w:r>
        <w:rPr>
          <w:rFonts w:ascii="Times New Roman" w:hAnsi="Times New Roman"/>
          <w:color w:val="000000"/>
          <w:sz w:val="20"/>
        </w:rPr>
        <w:t xml:space="preserve"> </w:t>
      </w:r>
      <w:r>
        <w:rPr>
          <w:rFonts w:ascii="Times New Roman" w:hAnsi="Times New Roman"/>
          <w:color w:val="000000"/>
          <w:sz w:val="24"/>
        </w:rPr>
        <w:t>FSV</w:t>
      </w:r>
      <w:r>
        <w:rPr>
          <w:rFonts w:ascii="Times New Roman" w:hAnsi="Times New Roman"/>
          <w:color w:val="222222"/>
          <w:sz w:val="24"/>
        </w:rPr>
        <w:t xml:space="preserve">, each previously classified as held for sale, as well as </w:t>
      </w:r>
      <w:r>
        <w:rPr>
          <w:rFonts w:ascii="Times New Roman" w:hAnsi="Times New Roman"/>
          <w:color w:val="000000"/>
          <w:sz w:val="24"/>
        </w:rPr>
        <w:t>one</w:t>
      </w:r>
      <w:r>
        <w:rPr>
          <w:rFonts w:ascii="Times New Roman" w:hAnsi="Times New Roman"/>
          <w:color w:val="000000"/>
          <w:sz w:val="20"/>
        </w:rPr>
        <w:t xml:space="preserve"> </w:t>
      </w:r>
      <w:r>
        <w:rPr>
          <w:rFonts w:ascii="Times New Roman" w:hAnsi="Times New Roman"/>
          <w:color w:val="000000"/>
          <w:sz w:val="24"/>
        </w:rPr>
        <w:t xml:space="preserve">liftboat </w:t>
      </w:r>
      <w:r>
        <w:rPr>
          <w:rFonts w:ascii="Times New Roman" w:hAnsi="Times New Roman"/>
          <w:color w:val="222222"/>
          <w:sz w:val="24"/>
        </w:rPr>
        <w:t xml:space="preserve">and other equipment, each not previously classified as held for sale, </w:t>
      </w:r>
      <w:r>
        <w:rPr>
          <w:rFonts w:ascii="Times New Roman" w:hAnsi="Times New Roman"/>
          <w:color w:val="000000"/>
          <w:sz w:val="24"/>
        </w:rPr>
        <w:t>for net cash proceeds of $40.1</w:t>
      </w:r>
      <w:r>
        <w:rPr>
          <w:rFonts w:ascii="Times New Roman" w:hAnsi="Times New Roman"/>
          <w:color w:val="000000"/>
          <w:sz w:val="20"/>
        </w:rPr>
        <w:t xml:space="preserve"> </w:t>
      </w:r>
      <w:r>
        <w:rPr>
          <w:rFonts w:ascii="Times New Roman" w:hAnsi="Times New Roman"/>
          <w:color w:val="000000"/>
          <w:sz w:val="24"/>
        </w:rPr>
        <w:t>million after transaction costs, for a gain of $25.0</w:t>
      </w:r>
      <w:r>
        <w:rPr>
          <w:rFonts w:ascii="Times New Roman" w:hAnsi="Times New Roman"/>
          <w:color w:val="000000"/>
          <w:sz w:val="20"/>
        </w:rPr>
        <w:t xml:space="preserve"> </w:t>
      </w:r>
      <w:r>
        <w:rPr>
          <w:rFonts w:ascii="Times New Roman" w:hAnsi="Times New Roman"/>
          <w:color w:val="000000"/>
          <w:sz w:val="24"/>
        </w:rPr>
        <w:t>million.</w:t>
      </w:r>
    </w:p>
    <w:p>
      <w:pPr>
        <w:pStyle w:val="TextBody"/>
        <w:bidi w:val="0"/>
        <w:spacing w:before="200" w:after="283"/>
        <w:jc w:val="both"/>
        <w:rPr>
          <w:rFonts w:ascii="Times New Roman" w:hAnsi="Times New Roman"/>
          <w:b/>
          <w:color w:val="000000"/>
          <w:sz w:val="24"/>
        </w:rPr>
      </w:pPr>
      <w:r>
        <w:rPr>
          <w:rFonts w:ascii="Times New Roman" w:hAnsi="Times New Roman"/>
          <w:b/>
          <w:color w:val="000000"/>
          <w:sz w:val="24"/>
        </w:rPr>
        <w:t>3.</w:t>
      </w:r>
    </w:p>
    <w:p>
      <w:pPr>
        <w:pStyle w:val="TextBody"/>
        <w:bidi w:val="0"/>
        <w:spacing w:before="200" w:after="283"/>
        <w:jc w:val="both"/>
        <w:rPr/>
      </w:pPr>
      <w:r>
        <w:rPr>
          <w:rFonts w:ascii="Times New Roman" w:hAnsi="Times New Roman"/>
          <w:b/>
          <w:color w:val="000000"/>
          <w:sz w:val="24"/>
        </w:rPr>
        <w:t xml:space="preserve">INVESTMENTS, AT EQUITY, AND ADVANCES TO 50% OR LESS OWNED </w:t>
      </w:r>
      <w:r>
        <w:rPr>
          <w:rFonts w:ascii="Times New Roman" w:hAnsi="Times New Roman"/>
          <w:b/>
          <w:color w:val="222222"/>
          <w:sz w:val="24"/>
        </w:rPr>
        <w:t>COMPANIES</w:t>
      </w:r>
    </w:p>
    <w:p>
      <w:pPr>
        <w:pStyle w:val="TextBody"/>
        <w:bidi w:val="0"/>
        <w:spacing w:before="200" w:after="200"/>
        <w:jc w:val="both"/>
        <w:rPr>
          <w:rFonts w:ascii="Times New Roman" w:hAnsi="Times New Roman"/>
          <w:color w:val="000000"/>
          <w:sz w:val="24"/>
        </w:rPr>
      </w:pPr>
      <w:r>
        <w:rPr>
          <w:rFonts w:ascii="Times New Roman" w:hAnsi="Times New Roman"/>
          <w:color w:val="000000"/>
          <w:sz w:val="24"/>
        </w:rPr>
        <w:t>Investments, at equity, and advances to 50% or less owned companies as of June 30, 2026 and December 31, 2025 were as follows (in thousands):</w:t>
      </w:r>
    </w:p>
    <w:tbl>
      <w:tblPr>
        <w:tblW w:w="6837" w:type="dxa"/>
        <w:jc w:val="left"/>
        <w:tblInd w:w="0" w:type="dxa"/>
        <w:tblLayout w:type="fixed"/>
        <w:tblCellMar>
          <w:top w:w="28" w:type="dxa"/>
          <w:left w:w="28" w:type="dxa"/>
          <w:bottom w:w="28" w:type="dxa"/>
          <w:right w:w="28" w:type="dxa"/>
        </w:tblCellMar>
      </w:tblPr>
      <w:tblGrid>
        <w:gridCol w:w="1921"/>
        <w:gridCol w:w="146"/>
        <w:gridCol w:w="304"/>
        <w:gridCol w:w="881"/>
        <w:gridCol w:w="256"/>
        <w:gridCol w:w="146"/>
        <w:gridCol w:w="320"/>
        <w:gridCol w:w="835"/>
        <w:gridCol w:w="146"/>
        <w:gridCol w:w="146"/>
        <w:gridCol w:w="427"/>
        <w:gridCol w:w="1118"/>
        <w:gridCol w:w="191"/>
      </w:tblGrid>
      <w:tr>
        <w:trPr/>
        <w:tc>
          <w:tcPr>
            <w:tcW w:w="19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9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Ownership</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Seabulk Angola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1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1,058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SEACOR Marine Arabia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1,809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5"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20.0% - 50.0%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9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3,009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1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2,938</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both"/>
        <w:rPr>
          <w:rFonts w:ascii="Times New Roman" w:hAnsi="Times New Roman"/>
          <w:b/>
          <w:color w:val="000000"/>
          <w:sz w:val="24"/>
        </w:rPr>
      </w:pPr>
      <w:r>
        <w:rPr>
          <w:rFonts w:ascii="Times New Roman" w:hAnsi="Times New Roman"/>
          <w:b/>
          <w:color w:val="000000"/>
          <w:sz w:val="24"/>
        </w:rPr>
        <w:t>4.</w:t>
      </w:r>
    </w:p>
    <w:p>
      <w:pPr>
        <w:pStyle w:val="TextBody"/>
        <w:bidi w:val="0"/>
        <w:jc w:val="both"/>
        <w:rPr>
          <w:rFonts w:ascii="Times New Roman" w:hAnsi="Times New Roman"/>
          <w:b/>
          <w:color w:val="000000"/>
          <w:sz w:val="24"/>
        </w:rPr>
      </w:pPr>
      <w:r>
        <w:rPr>
          <w:rFonts w:ascii="Times New Roman" w:hAnsi="Times New Roman"/>
          <w:b/>
          <w:color w:val="000000"/>
          <w:sz w:val="24"/>
        </w:rPr>
        <w:t>LONG-TERM DEBT</w:t>
      </w:r>
    </w:p>
    <w:p>
      <w:pPr>
        <w:pStyle w:val="TextBody"/>
        <w:bidi w:val="0"/>
        <w:spacing w:before="200" w:after="200"/>
        <w:jc w:val="both"/>
        <w:rPr>
          <w:rFonts w:ascii="Times New Roman" w:hAnsi="Times New Roman"/>
          <w:color w:val="000000"/>
          <w:sz w:val="24"/>
        </w:rPr>
      </w:pPr>
      <w:r>
        <w:rPr>
          <w:rFonts w:ascii="Times New Roman" w:hAnsi="Times New Roman"/>
          <w:color w:val="000000"/>
          <w:sz w:val="24"/>
        </w:rPr>
        <w:t>The Company’s long-term debt obligations as of June 30, 2026 and December 31, 2025 were as follows (in thousands):</w:t>
      </w:r>
    </w:p>
    <w:tbl>
      <w:tblPr>
        <w:tblW w:w="6400" w:type="dxa"/>
        <w:jc w:val="left"/>
        <w:tblInd w:w="0" w:type="dxa"/>
        <w:tblLayout w:type="fixed"/>
        <w:tblCellMar>
          <w:top w:w="28" w:type="dxa"/>
          <w:left w:w="28" w:type="dxa"/>
          <w:bottom w:w="28" w:type="dxa"/>
          <w:right w:w="28" w:type="dxa"/>
        </w:tblCellMar>
      </w:tblPr>
      <w:tblGrid>
        <w:gridCol w:w="3031"/>
        <w:gridCol w:w="146"/>
        <w:gridCol w:w="255"/>
        <w:gridCol w:w="900"/>
        <w:gridCol w:w="166"/>
        <w:gridCol w:w="146"/>
        <w:gridCol w:w="341"/>
        <w:gridCol w:w="1204"/>
        <w:gridCol w:w="211"/>
      </w:tblGrid>
      <w:tr>
        <w:trPr/>
        <w:tc>
          <w:tcPr>
            <w:tcW w:w="30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0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 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2024 SMFH Credit Facility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323,900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2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338,900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portion due within one year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(30,699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(30,000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0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Unamortized debt discount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(3,607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0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financing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(649</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0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debt, less current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289,503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2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304,644</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both"/>
        <w:rPr>
          <w:rFonts w:ascii="Times New Roman" w:hAnsi="Times New Roman"/>
          <w:color w:val="000000"/>
          <w:sz w:val="24"/>
        </w:rPr>
      </w:pPr>
      <w:r>
        <w:rPr>
          <w:rFonts w:ascii="Times New Roman" w:hAnsi="Times New Roman"/>
          <w:color w:val="000000"/>
          <w:sz w:val="24"/>
        </w:rPr>
        <w:t>As of June 30, 2026, the Company was in compliance with all debt covenants and lender requirements.</w:t>
      </w:r>
    </w:p>
    <w:p>
      <w:pPr>
        <w:pStyle w:val="TextBody"/>
        <w:bidi w:val="0"/>
        <w:spacing w:before="200" w:after="283"/>
        <w:jc w:val="both"/>
        <w:rPr>
          <w:rFonts w:ascii="Times New Roman" w:hAnsi="Times New Roman"/>
          <w:sz w:val="20"/>
        </w:rPr>
      </w:pPr>
      <w:r>
        <w:rPr>
          <w:rFonts w:ascii="Times New Roman" w:hAnsi="Times New Roman"/>
          <w:color w:val="000000"/>
          <w:sz w:val="24"/>
        </w:rPr>
        <w:t>During the second quarter of 2026, the Company exercised its right to cancel the remaining $24.6</w:t>
      </w:r>
      <w:r>
        <w:rPr>
          <w:rFonts w:ascii="Times New Roman" w:hAnsi="Times New Roman"/>
          <w:color w:val="000000"/>
          <w:sz w:val="20"/>
        </w:rPr>
        <w:t xml:space="preserve"> </w:t>
      </w:r>
      <w:r>
        <w:rPr>
          <w:rFonts w:ascii="Times New Roman" w:hAnsi="Times New Roman"/>
          <w:color w:val="000000"/>
          <w:sz w:val="24"/>
        </w:rPr>
        <w:t>million of Tranche B of the 2024 SMFH Credit Facility available to be drawn to fund construction of two</w:t>
      </w:r>
      <w:r>
        <w:rPr>
          <w:rFonts w:ascii="Times New Roman" w:hAnsi="Times New Roman"/>
          <w:color w:val="000000"/>
          <w:sz w:val="20"/>
        </w:rPr>
        <w:t xml:space="preserve"> </w:t>
      </w:r>
      <w:r>
        <w:rPr>
          <w:rFonts w:ascii="Times New Roman" w:hAnsi="Times New Roman"/>
          <w:color w:val="000000"/>
          <w:sz w:val="24"/>
        </w:rPr>
        <w:t>new PSVs because the Company has fully funded the amounts remaining to be paid for the two</w:t>
      </w:r>
      <w:r>
        <w:rPr>
          <w:rFonts w:ascii="Times New Roman" w:hAnsi="Times New Roman"/>
          <w:color w:val="000000"/>
          <w:sz w:val="20"/>
        </w:rPr>
        <w:t xml:space="preserve"> </w:t>
      </w:r>
      <w:r>
        <w:rPr>
          <w:rFonts w:ascii="Times New Roman" w:hAnsi="Times New Roman"/>
          <w:color w:val="000000"/>
          <w:sz w:val="24"/>
        </w:rPr>
        <w:t>PSVs through vessel and other asset sales.</w:t>
      </w:r>
    </w:p>
    <w:p>
      <w:pPr>
        <w:pStyle w:val="TextBody"/>
        <w:bidi w:val="0"/>
        <w:spacing w:before="200" w:after="283"/>
        <w:jc w:val="both"/>
        <w:rPr>
          <w:rFonts w:ascii="Times New Roman" w:hAnsi="Times New Roman"/>
          <w:sz w:val="20"/>
        </w:rPr>
      </w:pPr>
      <w:r>
        <w:rPr>
          <w:rFonts w:ascii="Times New Roman" w:hAnsi="Times New Roman"/>
          <w:b/>
          <w:i/>
          <w:color w:val="000000"/>
          <w:sz w:val="24"/>
        </w:rPr>
        <w:t>Letters of Credit</w:t>
      </w:r>
      <w:r>
        <w:rPr>
          <w:rFonts w:ascii="Times New Roman" w:hAnsi="Times New Roman"/>
          <w:color w:val="000000"/>
          <w:sz w:val="24"/>
        </w:rPr>
        <w:t>. As of June 30, 2026 and December 31, 2025, the Company had outstanding letters of credit of $0.4</w:t>
      </w:r>
      <w:r>
        <w:rPr>
          <w:rFonts w:ascii="Times New Roman" w:hAnsi="Times New Roman"/>
          <w:color w:val="000000"/>
          <w:sz w:val="20"/>
        </w:rPr>
        <w:t xml:space="preserve"> </w:t>
      </w:r>
      <w:r>
        <w:rPr>
          <w:rFonts w:ascii="Times New Roman" w:hAnsi="Times New Roman"/>
          <w:color w:val="000000"/>
          <w:sz w:val="24"/>
        </w:rPr>
        <w:t>million securing lease obligations, labor and performance guaranties.</w:t>
      </w:r>
    </w:p>
    <w:p>
      <w:pPr>
        <w:pStyle w:val="TextBody"/>
        <w:bidi w:val="0"/>
        <w:spacing w:before="200" w:after="283"/>
        <w:jc w:val="both"/>
        <w:rPr>
          <w:rFonts w:ascii="Times New Roman" w:hAnsi="Times New Roman"/>
          <w:b/>
          <w:color w:val="000000"/>
          <w:sz w:val="24"/>
        </w:rPr>
      </w:pPr>
      <w:r>
        <w:rPr>
          <w:rFonts w:ascii="Times New Roman" w:hAnsi="Times New Roman"/>
          <w:b/>
          <w:color w:val="000000"/>
          <w:sz w:val="24"/>
        </w:rPr>
        <w:t>5.</w:t>
      </w:r>
    </w:p>
    <w:p>
      <w:pPr>
        <w:pStyle w:val="TextBody"/>
        <w:bidi w:val="0"/>
        <w:spacing w:before="200" w:after="283"/>
        <w:jc w:val="both"/>
        <w:rPr>
          <w:rFonts w:ascii="Times New Roman" w:hAnsi="Times New Roman"/>
          <w:b/>
          <w:color w:val="000000"/>
          <w:sz w:val="24"/>
        </w:rPr>
      </w:pPr>
      <w:r>
        <w:rPr>
          <w:rFonts w:ascii="Times New Roman" w:hAnsi="Times New Roman"/>
          <w:b/>
          <w:color w:val="000000"/>
          <w:sz w:val="24"/>
        </w:rPr>
        <w:t>LEASES</w:t>
      </w:r>
    </w:p>
    <w:p>
      <w:pPr>
        <w:pStyle w:val="TextBody"/>
        <w:bidi w:val="0"/>
        <w:spacing w:before="200" w:after="283"/>
        <w:jc w:val="both"/>
        <w:rPr>
          <w:rFonts w:ascii="Times New Roman" w:hAnsi="Times New Roman"/>
          <w:sz w:val="20"/>
        </w:rPr>
      </w:pPr>
      <w:r>
        <w:rPr>
          <w:rFonts w:ascii="Times New Roman" w:hAnsi="Times New Roman"/>
          <w:color w:val="000000"/>
          <w:sz w:val="24"/>
        </w:rPr>
        <w:t>As of June 30, 2026, the Company leased-in certain facilities and other equipment but did not lease-in any vessels. The leases typically contain purchase and renewal options or rights of first refusal with respect to the sale or lease of the equipment. The lease terms of certain facilities and other equipment had a duration ranging from three</w:t>
      </w:r>
      <w:r>
        <w:rPr>
          <w:rFonts w:ascii="Times New Roman" w:hAnsi="Times New Roman"/>
          <w:color w:val="000000"/>
          <w:sz w:val="20"/>
        </w:rPr>
        <w:t xml:space="preserve"> </w:t>
      </w:r>
      <w:r>
        <w:rPr>
          <w:rFonts w:ascii="Times New Roman" w:hAnsi="Times New Roman"/>
          <w:color w:val="000000"/>
          <w:sz w:val="24"/>
        </w:rPr>
        <w:t>to 246</w:t>
      </w:r>
      <w:r>
        <w:rPr>
          <w:rFonts w:ascii="Times New Roman" w:hAnsi="Times New Roman"/>
          <w:color w:val="000000"/>
          <w:sz w:val="20"/>
        </w:rPr>
        <w:t xml:space="preserve"> </w:t>
      </w:r>
      <w:r>
        <w:rPr>
          <w:rFonts w:ascii="Times New Roman" w:hAnsi="Times New Roman"/>
          <w:color w:val="000000"/>
          <w:sz w:val="24"/>
        </w:rPr>
        <w:t>months.</w:t>
      </w:r>
    </w:p>
    <w:p>
      <w:pPr>
        <w:pStyle w:val="TextBody"/>
        <w:bidi w:val="0"/>
        <w:jc w:val="center"/>
        <w:rPr/>
      </w:pPr>
      <w:r>
        <w:rPr/>
        <w:t> </w:t>
      </w:r>
    </w:p>
    <w:p>
      <w:pPr>
        <w:pStyle w:val="TextBody"/>
        <w:bidi w:val="0"/>
        <w:jc w:val="center"/>
        <w:rPr>
          <w:rFonts w:ascii="Times New Roman" w:hAnsi="Times New Roman"/>
          <w:color w:val="000000"/>
          <w:sz w:val="24"/>
        </w:rPr>
      </w:pPr>
      <w:r>
        <w:rPr>
          <w:rFonts w:ascii="Times New Roman" w:hAnsi="Times New Roman"/>
          <w:color w:val="000000"/>
          <w:sz w:val="24"/>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00"/>
        <w:jc w:val="both"/>
        <w:rPr>
          <w:rFonts w:ascii="Times New Roman" w:hAnsi="Times New Roman"/>
          <w:color w:val="000000"/>
          <w:sz w:val="24"/>
        </w:rPr>
      </w:pPr>
      <w:r>
        <w:rPr>
          <w:rFonts w:ascii="Times New Roman" w:hAnsi="Times New Roman"/>
          <w:color w:val="000000"/>
          <w:sz w:val="24"/>
        </w:rPr>
        <w:t>As of June 30, 2026, future minimum payments for leases for the remainder of 2026 and the years ended December 31, noted below, were as follows (in thousands):</w:t>
      </w:r>
    </w:p>
    <w:tbl>
      <w:tblPr>
        <w:tblW w:w="7075" w:type="dxa"/>
        <w:jc w:val="left"/>
        <w:tblInd w:w="0" w:type="dxa"/>
        <w:tblLayout w:type="fixed"/>
        <w:tblCellMar>
          <w:top w:w="28" w:type="dxa"/>
          <w:left w:w="28" w:type="dxa"/>
          <w:bottom w:w="28" w:type="dxa"/>
          <w:right w:w="28" w:type="dxa"/>
        </w:tblCellMar>
      </w:tblPr>
      <w:tblGrid>
        <w:gridCol w:w="3706"/>
        <w:gridCol w:w="146"/>
        <w:gridCol w:w="398"/>
        <w:gridCol w:w="1042"/>
        <w:gridCol w:w="166"/>
        <w:gridCol w:w="146"/>
        <w:gridCol w:w="455"/>
        <w:gridCol w:w="805"/>
        <w:gridCol w:w="211"/>
      </w:tblGrid>
      <w:tr>
        <w:trPr/>
        <w:tc>
          <w:tcPr>
            <w:tcW w:w="3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7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Operating Leases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Finance Leases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Remainder of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Years subsequent to 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0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component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70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portion of long-term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00"/>
        <w:jc w:val="both"/>
        <w:rPr>
          <w:rFonts w:ascii="Times New Roman" w:hAnsi="Times New Roman"/>
          <w:color w:val="000000"/>
          <w:sz w:val="24"/>
        </w:rPr>
      </w:pPr>
      <w:r>
        <w:rPr>
          <w:rFonts w:ascii="Times New Roman" w:hAnsi="Times New Roman"/>
          <w:color w:val="000000"/>
          <w:sz w:val="24"/>
        </w:rPr>
        <w:t>For the three and six months ended June 30, 2026 and 2025 the components of lease expense were as follows (in thousands):</w:t>
      </w:r>
    </w:p>
    <w:tbl>
      <w:tblPr>
        <w:tblW w:w="8556" w:type="dxa"/>
        <w:jc w:val="left"/>
        <w:tblInd w:w="0" w:type="dxa"/>
        <w:tblLayout w:type="fixed"/>
        <w:tblCellMar>
          <w:top w:w="28" w:type="dxa"/>
          <w:left w:w="28" w:type="dxa"/>
          <w:bottom w:w="28" w:type="dxa"/>
          <w:right w:w="28" w:type="dxa"/>
        </w:tblCellMar>
      </w:tblPr>
      <w:tblGrid>
        <w:gridCol w:w="3051"/>
        <w:gridCol w:w="146"/>
        <w:gridCol w:w="333"/>
        <w:gridCol w:w="640"/>
        <w:gridCol w:w="248"/>
        <w:gridCol w:w="248"/>
        <w:gridCol w:w="333"/>
        <w:gridCol w:w="640"/>
        <w:gridCol w:w="146"/>
        <w:gridCol w:w="146"/>
        <w:gridCol w:w="305"/>
        <w:gridCol w:w="585"/>
        <w:gridCol w:w="227"/>
        <w:gridCol w:w="227"/>
        <w:gridCol w:w="305"/>
        <w:gridCol w:w="585"/>
        <w:gridCol w:w="391"/>
      </w:tblGrid>
      <w:tr>
        <w:trPr/>
        <w:tc>
          <w:tcPr>
            <w:tcW w:w="30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0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3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Six Months Ended 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lease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170</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330</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407</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Finance lease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9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0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18"/>
              </w:rPr>
            </w:pPr>
            <w:r>
              <w:rPr>
                <w:rFonts w:ascii="Times New Roman" w:hAnsi="Times New Roman"/>
                <w:color w:val="000000"/>
                <w:sz w:val="18"/>
              </w:rPr>
              <w:t xml:space="preserve">Amortization of finance lease assets </w:t>
            </w:r>
            <w:r>
              <w:rPr>
                <w:rFonts w:ascii="Times New Roman" w:hAnsi="Times New Roman"/>
                <w:color w:val="000000"/>
                <w:sz w:val="12"/>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18"/>
              </w:rPr>
            </w:pPr>
            <w:r>
              <w:rPr>
                <w:rFonts w:ascii="Times New Roman" w:hAnsi="Times New Roman"/>
                <w:color w:val="000000"/>
                <w:sz w:val="18"/>
              </w:rPr>
              <w:t xml:space="preserve">Interest on finance lease liabilities </w:t>
            </w:r>
            <w:r>
              <w:rPr>
                <w:rFonts w:ascii="Times New Roman" w:hAnsi="Times New Roman"/>
                <w:color w:val="000000"/>
                <w:sz w:val="12"/>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Short-term lease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96</w:t>
            </w:r>
          </w:p>
        </w:tc>
        <w:tc>
          <w:tcPr>
            <w:tcW w:w="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186</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255</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0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269</w:t>
            </w:r>
          </w:p>
        </w:tc>
        <w:tc>
          <w:tcPr>
            <w:tcW w:w="2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524</w:t>
            </w:r>
          </w:p>
        </w:tc>
        <w:tc>
          <w:tcPr>
            <w:tcW w:w="2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679</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pBdr>
          <w:bottom w:val="single" w:sz="4" w:space="1" w:color="000000"/>
        </w:pBdr>
        <w:bidi w:val="0"/>
        <w:jc w:val="both"/>
        <w:rPr/>
      </w:pPr>
      <w:r>
        <w:rPr/>
        <w:t> </w:t>
      </w:r>
    </w:p>
    <w:p>
      <w:pPr>
        <w:pStyle w:val="TextBody"/>
        <w:bidi w:val="0"/>
        <w:spacing w:before="40" w:after="283"/>
        <w:jc w:val="both"/>
        <w:rPr>
          <w:rFonts w:ascii="Times New Roman" w:hAnsi="Times New Roman"/>
          <w:color w:val="000000"/>
          <w:sz w:val="16"/>
        </w:rPr>
      </w:pPr>
      <w:r>
        <w:rPr>
          <w:rFonts w:ascii="Times New Roman" w:hAnsi="Times New Roman"/>
          <w:color w:val="000000"/>
          <w:sz w:val="16"/>
        </w:rPr>
        <w:t>(1)</w:t>
      </w:r>
    </w:p>
    <w:p>
      <w:pPr>
        <w:pStyle w:val="TextBody"/>
        <w:bidi w:val="0"/>
        <w:spacing w:before="40" w:after="283"/>
        <w:jc w:val="both"/>
        <w:rPr>
          <w:rFonts w:ascii="Times New Roman" w:hAnsi="Times New Roman"/>
          <w:sz w:val="24"/>
        </w:rPr>
      </w:pPr>
      <w:r>
        <w:rPr>
          <w:rFonts w:ascii="Times New Roman" w:hAnsi="Times New Roman"/>
          <w:color w:val="000000"/>
          <w:sz w:val="16"/>
        </w:rPr>
        <w:t>Included in amortization costs in the consolidated statements of income (loss).</w:t>
      </w:r>
      <w:r>
        <w:rPr>
          <w:rFonts w:ascii="Times New Roman" w:hAnsi="Times New Roman"/>
          <w:color w:val="000000"/>
          <w:sz w:val="24"/>
        </w:rPr>
        <w:t xml:space="preserve"> </w:t>
      </w:r>
    </w:p>
    <w:p>
      <w:pPr>
        <w:pStyle w:val="TextBody"/>
        <w:bidi w:val="0"/>
        <w:spacing w:before="40" w:after="283"/>
        <w:jc w:val="both"/>
        <w:rPr>
          <w:rFonts w:ascii="Times New Roman" w:hAnsi="Times New Roman"/>
          <w:color w:val="000000"/>
          <w:sz w:val="16"/>
        </w:rPr>
      </w:pPr>
      <w:r>
        <w:rPr>
          <w:rFonts w:ascii="Times New Roman" w:hAnsi="Times New Roman"/>
          <w:color w:val="000000"/>
          <w:sz w:val="16"/>
        </w:rPr>
        <w:t>(2)</w:t>
      </w:r>
    </w:p>
    <w:p>
      <w:pPr>
        <w:pStyle w:val="TextBody"/>
        <w:bidi w:val="0"/>
        <w:spacing w:before="40" w:after="283"/>
        <w:jc w:val="both"/>
        <w:rPr>
          <w:rFonts w:ascii="Times New Roman" w:hAnsi="Times New Roman"/>
          <w:sz w:val="24"/>
        </w:rPr>
      </w:pPr>
      <w:r>
        <w:rPr>
          <w:rFonts w:ascii="Times New Roman" w:hAnsi="Times New Roman"/>
          <w:color w:val="000000"/>
          <w:sz w:val="16"/>
        </w:rPr>
        <w:t>Included in interest expense in the consolidated statements of income (loss)</w:t>
      </w:r>
      <w:r>
        <w:rPr>
          <w:rFonts w:ascii="Times New Roman" w:hAnsi="Times New Roman"/>
          <w:color w:val="000000"/>
          <w:sz w:val="20"/>
        </w:rPr>
        <w:t>.</w:t>
      </w:r>
    </w:p>
    <w:p>
      <w:pPr>
        <w:pStyle w:val="TextBody"/>
        <w:bidi w:val="0"/>
        <w:spacing w:before="200" w:after="200"/>
        <w:jc w:val="both"/>
        <w:rPr>
          <w:rFonts w:ascii="Times New Roman" w:hAnsi="Times New Roman"/>
          <w:color w:val="000000"/>
          <w:sz w:val="24"/>
        </w:rPr>
      </w:pPr>
      <w:r>
        <w:rPr>
          <w:rFonts w:ascii="Times New Roman" w:hAnsi="Times New Roman"/>
          <w:color w:val="000000"/>
          <w:sz w:val="24"/>
        </w:rPr>
        <w:t>For the six months ended June 30, 2026 supplemental cash flow information related to leases was as follows (in thousands):</w:t>
      </w:r>
    </w:p>
    <w:tbl>
      <w:tblPr>
        <w:tblW w:w="5929" w:type="dxa"/>
        <w:jc w:val="left"/>
        <w:tblInd w:w="0" w:type="dxa"/>
        <w:tblLayout w:type="fixed"/>
        <w:tblCellMar>
          <w:top w:w="28" w:type="dxa"/>
          <w:left w:w="28" w:type="dxa"/>
          <w:bottom w:w="28" w:type="dxa"/>
          <w:right w:w="28" w:type="dxa"/>
        </w:tblCellMar>
      </w:tblPr>
      <w:tblGrid>
        <w:gridCol w:w="4156"/>
        <w:gridCol w:w="146"/>
        <w:gridCol w:w="196"/>
        <w:gridCol w:w="376"/>
        <w:gridCol w:w="146"/>
        <w:gridCol w:w="146"/>
        <w:gridCol w:w="196"/>
        <w:gridCol w:w="376"/>
        <w:gridCol w:w="191"/>
      </w:tblGrid>
      <w:tr>
        <w:trPr/>
        <w:tc>
          <w:tcPr>
            <w:tcW w:w="41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cash outflows from operating leases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Financing cash outflows from finance 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Right-of-use assets obtained for 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00" w:after="200"/>
        <w:jc w:val="both"/>
        <w:rPr>
          <w:rFonts w:ascii="Times New Roman" w:hAnsi="Times New Roman"/>
          <w:color w:val="000000"/>
          <w:sz w:val="24"/>
        </w:rPr>
      </w:pPr>
      <w:r>
        <w:rPr>
          <w:rFonts w:ascii="Times New Roman" w:hAnsi="Times New Roman"/>
          <w:color w:val="000000"/>
          <w:sz w:val="24"/>
        </w:rPr>
        <w:t>For the six months ended June 30, 2026 other information related to leases was as follows:</w:t>
      </w:r>
    </w:p>
    <w:tbl>
      <w:tblPr>
        <w:tblW w:w="6784" w:type="dxa"/>
        <w:jc w:val="left"/>
        <w:tblInd w:w="0" w:type="dxa"/>
        <w:tblLayout w:type="fixed"/>
        <w:tblCellMar>
          <w:top w:w="28" w:type="dxa"/>
          <w:left w:w="28" w:type="dxa"/>
          <w:bottom w:w="28" w:type="dxa"/>
          <w:right w:w="28" w:type="dxa"/>
        </w:tblCellMar>
      </w:tblPr>
      <w:tblGrid>
        <w:gridCol w:w="4801"/>
        <w:gridCol w:w="146"/>
        <w:gridCol w:w="146"/>
        <w:gridCol w:w="421"/>
        <w:gridCol w:w="256"/>
        <w:gridCol w:w="146"/>
        <w:gridCol w:w="146"/>
        <w:gridCol w:w="421"/>
        <w:gridCol w:w="301"/>
      </w:tblGrid>
      <w:tr>
        <w:trPr/>
        <w:tc>
          <w:tcPr>
            <w:tcW w:w="48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48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Weighted average remaining lease term, in years - operating leases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10.2</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9.3</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Weighted average remaining lease term, in years - finance 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Weighted average discount rate - operating leases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11.8</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8.4</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8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Weighted average discount rate - finance 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jc w:val="both"/>
        <w:rPr/>
      </w:pPr>
      <w:r>
        <w:rPr/>
        <w:t> </w:t>
      </w:r>
    </w:p>
    <w:p>
      <w:pPr>
        <w:pStyle w:val="TextBody"/>
        <w:bidi w:val="0"/>
        <w:jc w:val="center"/>
        <w:rPr/>
      </w:pPr>
      <w:r>
        <w:rPr/>
        <w:t> </w:t>
      </w:r>
    </w:p>
    <w:p>
      <w:pPr>
        <w:pStyle w:val="TextBody"/>
        <w:bidi w:val="0"/>
        <w:jc w:val="center"/>
        <w:rPr>
          <w:rFonts w:ascii="Times New Roman" w:hAnsi="Times New Roman"/>
          <w:color w:val="000000"/>
          <w:sz w:val="24"/>
        </w:rPr>
      </w:pPr>
      <w:r>
        <w:rPr>
          <w:rFonts w:ascii="Times New Roman" w:hAnsi="Times New Roman"/>
          <w:color w:val="000000"/>
          <w:sz w:val="24"/>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00" w:after="283"/>
        <w:jc w:val="both"/>
        <w:rPr>
          <w:rFonts w:ascii="Times New Roman" w:hAnsi="Times New Roman"/>
          <w:b/>
          <w:color w:val="000000"/>
          <w:sz w:val="24"/>
        </w:rPr>
      </w:pPr>
      <w:r>
        <w:rPr>
          <w:rFonts w:ascii="Times New Roman" w:hAnsi="Times New Roman"/>
          <w:b/>
          <w:color w:val="000000"/>
          <w:sz w:val="24"/>
        </w:rPr>
        <w:t>6.</w:t>
      </w:r>
    </w:p>
    <w:p>
      <w:pPr>
        <w:pStyle w:val="TextBody"/>
        <w:bidi w:val="0"/>
        <w:spacing w:before="100" w:after="283"/>
        <w:jc w:val="both"/>
        <w:rPr>
          <w:rFonts w:ascii="Times New Roman" w:hAnsi="Times New Roman"/>
          <w:b/>
          <w:color w:val="000000"/>
          <w:sz w:val="24"/>
        </w:rPr>
      </w:pPr>
      <w:r>
        <w:rPr>
          <w:rFonts w:ascii="Times New Roman" w:hAnsi="Times New Roman"/>
          <w:b/>
          <w:color w:val="000000"/>
          <w:sz w:val="24"/>
        </w:rPr>
        <w:t>INCOME TAXES</w:t>
      </w:r>
    </w:p>
    <w:p>
      <w:pPr>
        <w:pStyle w:val="TextBody"/>
        <w:bidi w:val="0"/>
        <w:spacing w:before="200" w:after="200"/>
        <w:jc w:val="both"/>
        <w:rPr>
          <w:rFonts w:ascii="Times New Roman" w:hAnsi="Times New Roman"/>
          <w:color w:val="000000"/>
          <w:sz w:val="24"/>
        </w:rPr>
      </w:pPr>
      <w:r>
        <w:rPr>
          <w:rFonts w:ascii="Times New Roman" w:hAnsi="Times New Roman"/>
          <w:color w:val="000000"/>
          <w:sz w:val="24"/>
        </w:rPr>
        <w:t>The following table reconciles the difference between the statutory federal income tax rate for the Company and the effective income tax rate for the six months ended June 30, 2026:</w:t>
      </w:r>
    </w:p>
    <w:tbl>
      <w:tblPr>
        <w:tblW w:w="5920" w:type="dxa"/>
        <w:jc w:val="left"/>
        <w:tblInd w:w="0" w:type="dxa"/>
        <w:tblLayout w:type="fixed"/>
        <w:tblCellMar>
          <w:top w:w="28" w:type="dxa"/>
          <w:left w:w="28" w:type="dxa"/>
          <w:bottom w:w="28" w:type="dxa"/>
          <w:right w:w="28" w:type="dxa"/>
        </w:tblCellMar>
      </w:tblPr>
      <w:tblGrid>
        <w:gridCol w:w="4786"/>
        <w:gridCol w:w="146"/>
        <w:gridCol w:w="146"/>
        <w:gridCol w:w="481"/>
        <w:gridCol w:w="361"/>
      </w:tblGrid>
      <w:tr>
        <w:trPr/>
        <w:tc>
          <w:tcPr>
            <w:tcW w:w="47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47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Statutory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(21.0</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7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Foreign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71.2</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7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Income (loss) of foreign subsidiaries not includable in U.S. return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30.1</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7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162(m) - executive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7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Subpart F Income and GILTI</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7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Share award plans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7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(0.8</w:t>
            </w:r>
          </w:p>
        </w:tc>
        <w:tc>
          <w:tcPr>
            <w:tcW w:w="3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7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Effective income tax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95.4</w:t>
            </w:r>
          </w:p>
        </w:tc>
        <w:tc>
          <w:tcPr>
            <w:tcW w:w="3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jc w:val="left"/>
        <w:rPr/>
      </w:pPr>
      <w:r>
        <w:rPr/>
        <w:t> </w:t>
      </w:r>
    </w:p>
    <w:p>
      <w:pPr>
        <w:pStyle w:val="TextBody"/>
        <w:bidi w:val="0"/>
        <w:spacing w:before="100" w:after="283"/>
        <w:jc w:val="both"/>
        <w:rPr>
          <w:rFonts w:ascii="Times New Roman" w:hAnsi="Times New Roman"/>
          <w:b/>
          <w:color w:val="000000"/>
          <w:sz w:val="24"/>
        </w:rPr>
      </w:pPr>
      <w:r>
        <w:rPr>
          <w:rFonts w:ascii="Times New Roman" w:hAnsi="Times New Roman"/>
          <w:b/>
          <w:color w:val="000000"/>
          <w:sz w:val="24"/>
        </w:rPr>
        <w:t>7.</w:t>
      </w:r>
    </w:p>
    <w:p>
      <w:pPr>
        <w:pStyle w:val="TextBody"/>
        <w:bidi w:val="0"/>
        <w:spacing w:before="100" w:after="283"/>
        <w:jc w:val="both"/>
        <w:rPr>
          <w:rFonts w:ascii="Times New Roman" w:hAnsi="Times New Roman"/>
          <w:b/>
          <w:color w:val="000000"/>
          <w:sz w:val="24"/>
        </w:rPr>
      </w:pPr>
      <w:r>
        <w:rPr>
          <w:rFonts w:ascii="Times New Roman" w:hAnsi="Times New Roman"/>
          <w:b/>
          <w:color w:val="000000"/>
          <w:sz w:val="24"/>
        </w:rPr>
        <w:t>DERIVATIVE INSTRUMENTS AND HEDGING STRATEGIES</w:t>
      </w:r>
    </w:p>
    <w:p>
      <w:pPr>
        <w:pStyle w:val="TextBody"/>
        <w:bidi w:val="0"/>
        <w:spacing w:before="200" w:after="200"/>
        <w:jc w:val="both"/>
        <w:rPr>
          <w:rFonts w:ascii="Times New Roman" w:hAnsi="Times New Roman"/>
          <w:sz w:val="20"/>
        </w:rPr>
      </w:pPr>
      <w:r>
        <w:rPr>
          <w:rFonts w:ascii="Times New Roman" w:hAnsi="Times New Roman"/>
          <w:color w:val="000000"/>
          <w:sz w:val="24"/>
        </w:rPr>
        <w:t>Derivative instruments are classified as either assets, which are included in other receivables in the accompanying consolidated balance sheets, or liabilities based on their individual fair values. As of June 30, 2026 and December 31, 2025, the Company had no</w:t>
      </w:r>
      <w:r>
        <w:rPr>
          <w:rFonts w:ascii="Times New Roman" w:hAnsi="Times New Roman"/>
          <w:color w:val="000000"/>
          <w:sz w:val="20"/>
        </w:rPr>
        <w:t xml:space="preserve"> </w:t>
      </w:r>
      <w:r>
        <w:rPr>
          <w:rFonts w:ascii="Times New Roman" w:hAnsi="Times New Roman"/>
          <w:color w:val="000000"/>
          <w:sz w:val="24"/>
        </w:rPr>
        <w:t>outstanding derivative instruments.</w:t>
      </w:r>
    </w:p>
    <w:p>
      <w:pPr>
        <w:pStyle w:val="TextBody"/>
        <w:bidi w:val="0"/>
        <w:spacing w:before="0" w:after="200"/>
        <w:jc w:val="both"/>
        <w:rPr>
          <w:rFonts w:ascii="Times New Roman" w:hAnsi="Times New Roman"/>
          <w:sz w:val="20"/>
        </w:rPr>
      </w:pPr>
      <w:r>
        <w:rPr>
          <w:rFonts w:ascii="Times New Roman" w:hAnsi="Times New Roman"/>
          <w:b/>
          <w:i/>
          <w:color w:val="000000"/>
          <w:sz w:val="24"/>
        </w:rPr>
        <w:t>Economic Hedges.</w:t>
      </w:r>
      <w:r>
        <w:rPr>
          <w:rFonts w:ascii="Times New Roman" w:hAnsi="Times New Roman"/>
          <w:color w:val="000000"/>
          <w:sz w:val="20"/>
        </w:rPr>
        <w:t xml:space="preserve"> </w:t>
      </w:r>
      <w:r>
        <w:rPr>
          <w:rFonts w:ascii="Times New Roman" w:hAnsi="Times New Roman"/>
          <w:color w:val="000000"/>
          <w:sz w:val="24"/>
        </w:rPr>
        <w:t>The Company may enter into and settle forward currency exchange, option and future contracts with respect to various foreign currencies. These contracts enable the Company to buy currencies in the future at fixed exchange rates, which could offset possible consequences of changes in currency exchange rates with respect to the Company’s business conducted outside of the U.S. The Company generally does not enter into contracts with forward settlement dates beyond 12 to 18 months. During the fourth quarter of 2023, the Company entered into a forward currency exchange contract related to the purchase of four hybrid battery power systems, the purchase price for which is denominated in Norwegian Kroner. The Company recognized gains of $0.2</w:t>
      </w:r>
      <w:r>
        <w:rPr>
          <w:rFonts w:ascii="Times New Roman" w:hAnsi="Times New Roman"/>
          <w:color w:val="000000"/>
          <w:sz w:val="20"/>
        </w:rPr>
        <w:t xml:space="preserve"> </w:t>
      </w:r>
      <w:r>
        <w:rPr>
          <w:rFonts w:ascii="Times New Roman" w:hAnsi="Times New Roman"/>
          <w:color w:val="000000"/>
          <w:sz w:val="24"/>
        </w:rPr>
        <w:t>million during the six months ended June 30, 2025 on this contract, which were recognized in earnings. As of June 30, 2026 and December 31, 2025, the Company had no outstanding forward currency exchange contract.</w:t>
      </w:r>
    </w:p>
    <w:p>
      <w:pPr>
        <w:pStyle w:val="TextBody"/>
        <w:bidi w:val="0"/>
        <w:jc w:val="both"/>
        <w:rPr>
          <w:rFonts w:ascii="Times New Roman" w:hAnsi="Times New Roman"/>
          <w:sz w:val="20"/>
        </w:rPr>
      </w:pPr>
      <w:r>
        <w:rPr>
          <w:rFonts w:ascii="Times New Roman" w:hAnsi="Times New Roman"/>
          <w:b/>
          <w:i/>
          <w:color w:val="000000"/>
          <w:sz w:val="24"/>
        </w:rPr>
        <w:t>Cash Flow Hedges.</w:t>
      </w:r>
      <w:r>
        <w:rPr>
          <w:rFonts w:ascii="Times New Roman" w:hAnsi="Times New Roman"/>
          <w:color w:val="000000"/>
          <w:sz w:val="20"/>
        </w:rPr>
        <w:t xml:space="preserve"> </w:t>
      </w:r>
      <w:r>
        <w:rPr>
          <w:rFonts w:ascii="Times New Roman" w:hAnsi="Times New Roman"/>
          <w:color w:val="000000"/>
          <w:sz w:val="24"/>
        </w:rPr>
        <w:t>The Company may from time to time enter into interest rate swap agreements designated as cash flow hedges. By entering into interest rate swap agreements, the Company can convert the variable interest component of certain of their outstanding borrowings to a fixed interest rate. As of June 30, 2026 and December 31, 2025, there were no interest rate swaps held by the Company and the Company had no floating rate debt.</w:t>
      </w:r>
    </w:p>
    <w:p>
      <w:pPr>
        <w:pStyle w:val="TextBody"/>
        <w:bidi w:val="0"/>
        <w:spacing w:before="200" w:after="200"/>
        <w:jc w:val="both"/>
        <w:rPr>
          <w:rFonts w:ascii="Times New Roman" w:hAnsi="Times New Roman"/>
          <w:sz w:val="20"/>
        </w:rPr>
      </w:pPr>
      <w:r>
        <w:rPr>
          <w:rFonts w:ascii="Times New Roman" w:hAnsi="Times New Roman"/>
          <w:b/>
          <w:i/>
          <w:color w:val="000000"/>
          <w:sz w:val="24"/>
        </w:rPr>
        <w:t>Other Derivative Instruments.</w:t>
      </w:r>
      <w:r>
        <w:rPr>
          <w:rFonts w:ascii="Times New Roman" w:hAnsi="Times New Roman"/>
          <w:color w:val="000000"/>
          <w:sz w:val="20"/>
        </w:rPr>
        <w:t xml:space="preserve"> </w:t>
      </w:r>
      <w:r>
        <w:rPr>
          <w:rFonts w:ascii="Times New Roman" w:hAnsi="Times New Roman"/>
          <w:color w:val="000000"/>
          <w:sz w:val="24"/>
        </w:rPr>
        <w:t>The Company had no derivative instruments not designated as hedging instruments for the three and six months ended June 30, 2026 and recognized gains on derivative instruments not designated as hedging instruments for the three and six months ended June 30, 2025 as follows (in thousands):</w:t>
      </w:r>
    </w:p>
    <w:tbl>
      <w:tblPr>
        <w:tblW w:w="9432" w:type="dxa"/>
        <w:jc w:val="left"/>
        <w:tblInd w:w="0" w:type="dxa"/>
        <w:tblLayout w:type="fixed"/>
        <w:tblCellMar>
          <w:top w:w="28" w:type="dxa"/>
          <w:left w:w="28" w:type="dxa"/>
          <w:bottom w:w="28" w:type="dxa"/>
          <w:right w:w="28" w:type="dxa"/>
        </w:tblCellMar>
      </w:tblPr>
      <w:tblGrid>
        <w:gridCol w:w="4126"/>
        <w:gridCol w:w="146"/>
        <w:gridCol w:w="364"/>
        <w:gridCol w:w="643"/>
        <w:gridCol w:w="271"/>
        <w:gridCol w:w="271"/>
        <w:gridCol w:w="364"/>
        <w:gridCol w:w="531"/>
        <w:gridCol w:w="146"/>
        <w:gridCol w:w="146"/>
        <w:gridCol w:w="311"/>
        <w:gridCol w:w="550"/>
        <w:gridCol w:w="232"/>
        <w:gridCol w:w="232"/>
        <w:gridCol w:w="311"/>
        <w:gridCol w:w="597"/>
        <w:gridCol w:w="191"/>
      </w:tblGrid>
      <w:tr>
        <w:trPr/>
        <w:tc>
          <w:tcPr>
            <w:tcW w:w="41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1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Six Months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Forward currency exchange, option, and future contracts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4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5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00" w:after="283"/>
        <w:jc w:val="both"/>
        <w:rPr>
          <w:rFonts w:ascii="Times New Roman" w:hAnsi="Times New Roman"/>
          <w:color w:val="000000"/>
          <w:sz w:val="24"/>
        </w:rPr>
      </w:pPr>
      <w:r>
        <w:rPr>
          <w:rFonts w:ascii="Times New Roman" w:hAnsi="Times New Roman"/>
          <w:color w:val="000000"/>
          <w:sz w:val="24"/>
        </w:rPr>
        <w:t>The forward currency exchange contract relates to the purchase of four hybrid battery power systems discussed in “—Economic Hedges” above. As of June 30, 2026, the Company had no outstanding foreign currency exchange contract.</w:t>
      </w:r>
    </w:p>
    <w:p>
      <w:pPr>
        <w:pStyle w:val="TextBody"/>
        <w:bidi w:val="0"/>
        <w:spacing w:before="200" w:after="283"/>
        <w:jc w:val="both"/>
        <w:rPr>
          <w:rFonts w:ascii="Times New Roman" w:hAnsi="Times New Roman"/>
          <w:b/>
          <w:color w:val="000000"/>
          <w:sz w:val="24"/>
        </w:rPr>
      </w:pPr>
      <w:r>
        <w:rPr>
          <w:rFonts w:ascii="Times New Roman" w:hAnsi="Times New Roman"/>
          <w:b/>
          <w:color w:val="000000"/>
          <w:sz w:val="24"/>
        </w:rPr>
        <w:t>8.</w:t>
      </w:r>
    </w:p>
    <w:p>
      <w:pPr>
        <w:pStyle w:val="TextBody"/>
        <w:bidi w:val="0"/>
        <w:spacing w:before="200" w:after="283"/>
        <w:jc w:val="both"/>
        <w:rPr>
          <w:rFonts w:ascii="Times New Roman" w:hAnsi="Times New Roman"/>
          <w:b/>
          <w:color w:val="000000"/>
          <w:sz w:val="24"/>
        </w:rPr>
      </w:pPr>
      <w:r>
        <w:rPr>
          <w:rFonts w:ascii="Times New Roman" w:hAnsi="Times New Roman"/>
          <w:b/>
          <w:color w:val="000000"/>
          <w:sz w:val="24"/>
        </w:rPr>
        <w:t>FAIR VALUE MEASUREMENTS</w:t>
      </w:r>
    </w:p>
    <w:p>
      <w:pPr>
        <w:pStyle w:val="TextBody"/>
        <w:bidi w:val="0"/>
        <w:spacing w:before="200" w:after="283"/>
        <w:jc w:val="both"/>
        <w:rPr>
          <w:rFonts w:ascii="Times New Roman" w:hAnsi="Times New Roman"/>
          <w:sz w:val="20"/>
        </w:rPr>
      </w:pPr>
      <w:r>
        <w:rPr>
          <w:rFonts w:ascii="Times New Roman" w:hAnsi="Times New Roman"/>
          <w:color w:val="000000"/>
          <w:sz w:val="24"/>
        </w:rPr>
        <w:t>The fair value of an asset or liability is the price that would be received to sell an asset or transfer a liability (an exit price) in the principal or most advantageous market for the asset or liability in an orderly transaction between market participants on the measurement date. The Company utilizes a fair value hierarchy that maximizes the use of observable inputs and minimizes the use of unobservable inputs when measuring fair value and defines</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Times New Roman" w:hAnsi="Times New Roman"/>
          <w:color w:val="000000"/>
          <w:sz w:val="24"/>
        </w:rPr>
      </w:pPr>
      <w:r>
        <w:rPr>
          <w:rFonts w:ascii="Times New Roman" w:hAnsi="Times New Roman"/>
          <w:color w:val="000000"/>
          <w:sz w:val="24"/>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sz w:val="20"/>
        </w:rPr>
      </w:pPr>
      <w:r>
        <w:rPr>
          <w:rFonts w:ascii="Times New Roman" w:hAnsi="Times New Roman"/>
          <w:color w:val="000000"/>
          <w:sz w:val="24"/>
        </w:rPr>
        <w:t xml:space="preserve">three levels of inputs that may be used to measure fair value. </w:t>
      </w:r>
      <w:r>
        <w:rPr>
          <w:rFonts w:ascii="Times New Roman" w:hAnsi="Times New Roman"/>
          <w:i/>
          <w:color w:val="000000"/>
          <w:sz w:val="24"/>
        </w:rPr>
        <w:t xml:space="preserve">Level </w:t>
      </w:r>
      <w:r>
        <w:rPr>
          <w:rFonts w:ascii="Times New Roman" w:hAnsi="Times New Roman"/>
          <w:color w:val="000000"/>
          <w:sz w:val="24"/>
        </w:rPr>
        <w:t xml:space="preserve">1 inputs are quoted prices in active markets for identical assets or liabilities. </w:t>
      </w:r>
      <w:r>
        <w:rPr>
          <w:rFonts w:ascii="Times New Roman" w:hAnsi="Times New Roman"/>
          <w:i/>
          <w:color w:val="000000"/>
          <w:sz w:val="24"/>
        </w:rPr>
        <w:t xml:space="preserve">Level </w:t>
      </w:r>
      <w:r>
        <w:rPr>
          <w:rFonts w:ascii="Times New Roman" w:hAnsi="Times New Roman"/>
          <w:color w:val="000000"/>
          <w:sz w:val="24"/>
        </w:rPr>
        <w:t xml:space="preserve">2 inputs are observable inputs other than quoted prices included in </w:t>
      </w:r>
      <w:r>
        <w:rPr>
          <w:rFonts w:ascii="Times New Roman" w:hAnsi="Times New Roman"/>
          <w:i/>
          <w:color w:val="000000"/>
          <w:sz w:val="24"/>
        </w:rPr>
        <w:t xml:space="preserve">Level </w:t>
      </w:r>
      <w:r>
        <w:rPr>
          <w:rFonts w:ascii="Times New Roman" w:hAnsi="Times New Roman"/>
          <w:color w:val="000000"/>
          <w:sz w:val="24"/>
        </w:rPr>
        <w:t xml:space="preserve">1 that are observable for the asset or liability, either directly or indirectly, including quoted prices for similar assets or liabilities in active markets, quoted prices in markets that are not active, inputs other than quoted prices that are observable for the asset or liability, or inputs derived from observable market data. </w:t>
      </w:r>
      <w:r>
        <w:rPr>
          <w:rFonts w:ascii="Times New Roman" w:hAnsi="Times New Roman"/>
          <w:i/>
          <w:color w:val="000000"/>
          <w:sz w:val="24"/>
        </w:rPr>
        <w:t xml:space="preserve">Level </w:t>
      </w:r>
      <w:r>
        <w:rPr>
          <w:rFonts w:ascii="Times New Roman" w:hAnsi="Times New Roman"/>
          <w:color w:val="000000"/>
          <w:sz w:val="24"/>
        </w:rPr>
        <w:t>3 inputs are unobservable inputs that are supported by little or no market activity and are significant to the fair value of the assets or liabilities. The Company had no</w:t>
      </w:r>
      <w:r>
        <w:rPr>
          <w:rFonts w:ascii="Times New Roman" w:hAnsi="Times New Roman"/>
          <w:color w:val="000000"/>
          <w:sz w:val="20"/>
        </w:rPr>
        <w:t xml:space="preserve"> </w:t>
      </w:r>
      <w:r>
        <w:rPr>
          <w:rFonts w:ascii="Times New Roman" w:hAnsi="Times New Roman"/>
          <w:color w:val="000000"/>
          <w:sz w:val="24"/>
        </w:rPr>
        <w:t>financial assets and liabilities as of June 30, 2026 and December 31, 2025 that are measured at fair value on a recurring basis.</w:t>
      </w:r>
    </w:p>
    <w:p>
      <w:pPr>
        <w:pStyle w:val="TextBody"/>
        <w:bidi w:val="0"/>
        <w:spacing w:before="200" w:after="200"/>
        <w:jc w:val="both"/>
        <w:rPr>
          <w:rFonts w:ascii="Times New Roman" w:hAnsi="Times New Roman"/>
          <w:color w:val="000000"/>
          <w:sz w:val="24"/>
        </w:rPr>
      </w:pPr>
      <w:r>
        <w:rPr>
          <w:rFonts w:ascii="Times New Roman" w:hAnsi="Times New Roman"/>
          <w:color w:val="000000"/>
          <w:sz w:val="24"/>
        </w:rPr>
        <w:t>The estimated fair values of the Company’s other financial assets and liabilities as of June 30, 2026 and December 31, 2025 were as follows (in thousands):</w:t>
      </w:r>
    </w:p>
    <w:tbl>
      <w:tblPr>
        <w:tblW w:w="7238" w:type="dxa"/>
        <w:jc w:val="left"/>
        <w:tblInd w:w="0" w:type="dxa"/>
        <w:tblLayout w:type="fixed"/>
        <w:tblCellMar>
          <w:top w:w="28" w:type="dxa"/>
          <w:left w:w="28" w:type="dxa"/>
          <w:bottom w:w="28" w:type="dxa"/>
          <w:right w:w="28" w:type="dxa"/>
        </w:tblCellMar>
      </w:tblPr>
      <w:tblGrid>
        <w:gridCol w:w="3061"/>
        <w:gridCol w:w="146"/>
        <w:gridCol w:w="146"/>
        <w:gridCol w:w="691"/>
        <w:gridCol w:w="146"/>
        <w:gridCol w:w="146"/>
        <w:gridCol w:w="190"/>
        <w:gridCol w:w="455"/>
        <w:gridCol w:w="146"/>
        <w:gridCol w:w="146"/>
        <w:gridCol w:w="146"/>
        <w:gridCol w:w="691"/>
        <w:gridCol w:w="146"/>
        <w:gridCol w:w="146"/>
        <w:gridCol w:w="190"/>
        <w:gridCol w:w="455"/>
        <w:gridCol w:w="191"/>
      </w:tblGrid>
      <w:tr>
        <w:trPr/>
        <w:tc>
          <w:tcPr>
            <w:tcW w:w="30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1"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Estimated 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6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June 30, 2026</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Carrying</w:t>
              <w:b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Level 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Long-term debt, including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320,202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331,983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61"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December 31, 2025</w:t>
            </w:r>
          </w:p>
        </w:tc>
        <w:tc>
          <w:tcPr>
            <w:tcW w:w="14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0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Long-term debt, including current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334,644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346,257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00" w:after="283"/>
        <w:jc w:val="both"/>
        <w:rPr>
          <w:rFonts w:ascii="Times New Roman" w:hAnsi="Times New Roman"/>
          <w:color w:val="000000"/>
          <w:sz w:val="24"/>
        </w:rPr>
      </w:pPr>
      <w:r>
        <w:rPr>
          <w:rFonts w:ascii="Times New Roman" w:hAnsi="Times New Roman"/>
          <w:color w:val="000000"/>
          <w:sz w:val="24"/>
        </w:rPr>
        <w:t>The carrying value of cash, cash equivalents, restricted cash and trade receivables approximates fair value. The fair value of the Company’s long-term debt was estimated based upon quoted market prices or by using discounted cash flow analysis based on estimated current rates for similar types of arrangements. Considerable judgment was required in developing certain of the estimates of fair value, and, accordingly, the estimates presented herein are not necessarily indicative of the amounts that the Company could realize in a current market exchange.</w:t>
      </w:r>
    </w:p>
    <w:p>
      <w:pPr>
        <w:pStyle w:val="TextBody"/>
        <w:bidi w:val="0"/>
        <w:spacing w:before="200" w:after="283"/>
        <w:jc w:val="both"/>
        <w:rPr>
          <w:rFonts w:ascii="Times New Roman" w:hAnsi="Times New Roman"/>
          <w:sz w:val="20"/>
        </w:rPr>
      </w:pPr>
      <w:r>
        <w:rPr>
          <w:rFonts w:ascii="Times New Roman" w:hAnsi="Times New Roman"/>
          <w:b/>
          <w:i/>
          <w:color w:val="000000"/>
          <w:sz w:val="24"/>
        </w:rPr>
        <w:t>Property and equipment</w:t>
      </w:r>
      <w:r>
        <w:rPr>
          <w:rFonts w:ascii="Times New Roman" w:hAnsi="Times New Roman"/>
          <w:color w:val="000000"/>
          <w:sz w:val="24"/>
        </w:rPr>
        <w:t>. As of June 30, 2026 and December 31, 2025, the Company recognized no</w:t>
      </w:r>
      <w:r>
        <w:rPr>
          <w:rFonts w:ascii="Times New Roman" w:hAnsi="Times New Roman"/>
          <w:color w:val="000000"/>
          <w:sz w:val="20"/>
        </w:rPr>
        <w:t xml:space="preserve"> </w:t>
      </w:r>
      <w:r>
        <w:rPr>
          <w:rFonts w:ascii="Times New Roman" w:hAnsi="Times New Roman"/>
          <w:color w:val="000000"/>
          <w:sz w:val="24"/>
        </w:rPr>
        <w:t>impairment charges on any owned vessels.</w:t>
      </w:r>
    </w:p>
    <w:p>
      <w:pPr>
        <w:pStyle w:val="TextBody"/>
        <w:bidi w:val="0"/>
        <w:spacing w:before="200" w:after="283"/>
        <w:jc w:val="left"/>
        <w:rPr>
          <w:rFonts w:ascii="Times New Roman" w:hAnsi="Times New Roman"/>
          <w:b/>
          <w:color w:val="000000"/>
          <w:sz w:val="24"/>
        </w:rPr>
      </w:pPr>
      <w:r>
        <w:rPr>
          <w:rFonts w:ascii="Times New Roman" w:hAnsi="Times New Roman"/>
          <w:b/>
          <w:color w:val="000000"/>
          <w:sz w:val="24"/>
        </w:rPr>
        <w:t>9.</w:t>
      </w:r>
    </w:p>
    <w:p>
      <w:pPr>
        <w:pStyle w:val="TextBody"/>
        <w:bidi w:val="0"/>
        <w:spacing w:before="200" w:after="283"/>
        <w:jc w:val="left"/>
        <w:rPr>
          <w:rFonts w:ascii="Times New Roman" w:hAnsi="Times New Roman"/>
          <w:b/>
          <w:color w:val="000000"/>
          <w:sz w:val="24"/>
        </w:rPr>
      </w:pPr>
      <w:r>
        <w:rPr>
          <w:rFonts w:ascii="Times New Roman" w:hAnsi="Times New Roman"/>
          <w:b/>
          <w:color w:val="000000"/>
          <w:sz w:val="24"/>
        </w:rPr>
        <w:t>COMMITMENTS AND CONTINGENCIES</w:t>
      </w:r>
    </w:p>
    <w:p>
      <w:pPr>
        <w:pStyle w:val="TextBody"/>
        <w:bidi w:val="0"/>
        <w:spacing w:before="200" w:after="283"/>
        <w:jc w:val="both"/>
        <w:rPr>
          <w:rFonts w:ascii="Times New Roman" w:hAnsi="Times New Roman"/>
          <w:sz w:val="20"/>
        </w:rPr>
      </w:pPr>
      <w:r>
        <w:rPr>
          <w:rFonts w:ascii="Times New Roman" w:hAnsi="Times New Roman"/>
          <w:color w:val="000000"/>
          <w:sz w:val="24"/>
        </w:rPr>
        <w:t>As of June 30, 2026, the Company had unfunded capital commitments of $39.4</w:t>
      </w:r>
      <w:r>
        <w:rPr>
          <w:rFonts w:ascii="Times New Roman" w:hAnsi="Times New Roman"/>
          <w:color w:val="000000"/>
          <w:sz w:val="20"/>
        </w:rPr>
        <w:t xml:space="preserve"> </w:t>
      </w:r>
      <w:r>
        <w:rPr>
          <w:rFonts w:ascii="Times New Roman" w:hAnsi="Times New Roman"/>
          <w:color w:val="000000"/>
          <w:sz w:val="24"/>
        </w:rPr>
        <w:t>million consisting of $37.5</w:t>
      </w:r>
      <w:r>
        <w:rPr>
          <w:rFonts w:ascii="Times New Roman" w:hAnsi="Times New Roman"/>
          <w:color w:val="000000"/>
          <w:sz w:val="20"/>
        </w:rPr>
        <w:t xml:space="preserve"> </w:t>
      </w:r>
      <w:r>
        <w:rPr>
          <w:rFonts w:ascii="Times New Roman" w:hAnsi="Times New Roman"/>
          <w:color w:val="000000"/>
          <w:sz w:val="24"/>
        </w:rPr>
        <w:t>million in respect of the construction of two</w:t>
      </w:r>
      <w:r>
        <w:rPr>
          <w:rFonts w:ascii="Times New Roman" w:hAnsi="Times New Roman"/>
          <w:color w:val="000000"/>
          <w:sz w:val="20"/>
        </w:rPr>
        <w:t xml:space="preserve"> </w:t>
      </w:r>
      <w:r>
        <w:rPr>
          <w:rFonts w:ascii="Times New Roman" w:hAnsi="Times New Roman"/>
          <w:color w:val="000000"/>
          <w:sz w:val="24"/>
        </w:rPr>
        <w:t>PSVs, $1.7</w:t>
      </w:r>
      <w:r>
        <w:rPr>
          <w:rFonts w:ascii="Times New Roman" w:hAnsi="Times New Roman"/>
          <w:color w:val="000000"/>
          <w:sz w:val="20"/>
        </w:rPr>
        <w:t xml:space="preserve"> </w:t>
      </w:r>
      <w:r>
        <w:rPr>
          <w:rFonts w:ascii="Times New Roman" w:hAnsi="Times New Roman"/>
          <w:color w:val="000000"/>
          <w:sz w:val="24"/>
        </w:rPr>
        <w:t>million in respect of two</w:t>
      </w:r>
      <w:r>
        <w:rPr>
          <w:rFonts w:ascii="Times New Roman" w:hAnsi="Times New Roman"/>
          <w:color w:val="000000"/>
          <w:sz w:val="20"/>
        </w:rPr>
        <w:t xml:space="preserve"> </w:t>
      </w:r>
      <w:r>
        <w:rPr>
          <w:rFonts w:ascii="Times New Roman" w:hAnsi="Times New Roman"/>
          <w:color w:val="000000"/>
          <w:sz w:val="24"/>
        </w:rPr>
        <w:t>hybrid battery power systems and $0.2</w:t>
      </w:r>
      <w:r>
        <w:rPr>
          <w:rFonts w:ascii="Times New Roman" w:hAnsi="Times New Roman"/>
          <w:color w:val="000000"/>
          <w:sz w:val="20"/>
        </w:rPr>
        <w:t xml:space="preserve"> </w:t>
      </w:r>
      <w:r>
        <w:rPr>
          <w:rFonts w:ascii="Times New Roman" w:hAnsi="Times New Roman"/>
          <w:color w:val="000000"/>
          <w:sz w:val="24"/>
        </w:rPr>
        <w:t>million for miscellaneous vessel equipment. Of the unfunded capital commitments, $21.2</w:t>
      </w:r>
      <w:r>
        <w:rPr>
          <w:rFonts w:ascii="Times New Roman" w:hAnsi="Times New Roman"/>
          <w:color w:val="000000"/>
          <w:sz w:val="20"/>
        </w:rPr>
        <w:t xml:space="preserve"> </w:t>
      </w:r>
      <w:r>
        <w:rPr>
          <w:rFonts w:ascii="Times New Roman" w:hAnsi="Times New Roman"/>
          <w:color w:val="000000"/>
          <w:sz w:val="24"/>
        </w:rPr>
        <w:t>million is payable during the remainder of 2026, $16.5</w:t>
      </w:r>
      <w:r>
        <w:rPr>
          <w:rFonts w:ascii="Times New Roman" w:hAnsi="Times New Roman"/>
          <w:color w:val="000000"/>
          <w:sz w:val="20"/>
        </w:rPr>
        <w:t xml:space="preserve"> </w:t>
      </w:r>
      <w:r>
        <w:rPr>
          <w:rFonts w:ascii="Times New Roman" w:hAnsi="Times New Roman"/>
          <w:color w:val="000000"/>
          <w:sz w:val="24"/>
        </w:rPr>
        <w:t>million is payable during 2027 and the remainder is payable during 2028. As of June 30, 2026, $37.0</w:t>
      </w:r>
      <w:r>
        <w:rPr>
          <w:rFonts w:ascii="Times New Roman" w:hAnsi="Times New Roman"/>
          <w:color w:val="000000"/>
          <w:sz w:val="20"/>
        </w:rPr>
        <w:t xml:space="preserve"> </w:t>
      </w:r>
      <w:r>
        <w:rPr>
          <w:rFonts w:ascii="Times New Roman" w:hAnsi="Times New Roman"/>
          <w:color w:val="000000"/>
          <w:sz w:val="24"/>
        </w:rPr>
        <w:t>million remained in a</w:t>
      </w:r>
      <w:r>
        <w:rPr>
          <w:rFonts w:ascii="Times New Roman" w:hAnsi="Times New Roman"/>
          <w:color w:val="000000"/>
          <w:sz w:val="20"/>
        </w:rPr>
        <w:t xml:space="preserve"> </w:t>
      </w:r>
      <w:r>
        <w:rPr>
          <w:rFonts w:ascii="Times New Roman" w:hAnsi="Times New Roman"/>
          <w:color w:val="000000"/>
          <w:sz w:val="24"/>
        </w:rPr>
        <w:t>restricted account designated to make payments on the construction of the two</w:t>
      </w:r>
      <w:r>
        <w:rPr>
          <w:rFonts w:ascii="Times New Roman" w:hAnsi="Times New Roman"/>
          <w:color w:val="000000"/>
          <w:sz w:val="20"/>
        </w:rPr>
        <w:t xml:space="preserve"> </w:t>
      </w:r>
      <w:r>
        <w:rPr>
          <w:rFonts w:ascii="Times New Roman" w:hAnsi="Times New Roman"/>
          <w:color w:val="000000"/>
          <w:sz w:val="24"/>
        </w:rPr>
        <w:t>PSVs, of which $11.3</w:t>
      </w:r>
      <w:r>
        <w:rPr>
          <w:rFonts w:ascii="Times New Roman" w:hAnsi="Times New Roman"/>
          <w:color w:val="000000"/>
          <w:sz w:val="20"/>
        </w:rPr>
        <w:t xml:space="preserve"> </w:t>
      </w:r>
      <w:r>
        <w:rPr>
          <w:rFonts w:ascii="Times New Roman" w:hAnsi="Times New Roman"/>
          <w:color w:val="000000"/>
          <w:sz w:val="24"/>
        </w:rPr>
        <w:t>million was deposited during the first quarter of 2026 from the sale of one</w:t>
      </w:r>
      <w:r>
        <w:rPr>
          <w:rFonts w:ascii="Times New Roman" w:hAnsi="Times New Roman"/>
          <w:color w:val="000000"/>
          <w:sz w:val="20"/>
        </w:rPr>
        <w:t xml:space="preserve"> </w:t>
      </w:r>
      <w:r>
        <w:rPr>
          <w:rFonts w:ascii="Times New Roman" w:hAnsi="Times New Roman"/>
          <w:color w:val="000000"/>
          <w:sz w:val="24"/>
        </w:rPr>
        <w:t>PSV, $23.8</w:t>
      </w:r>
      <w:r>
        <w:rPr>
          <w:rFonts w:ascii="Times New Roman" w:hAnsi="Times New Roman"/>
          <w:color w:val="000000"/>
          <w:sz w:val="20"/>
        </w:rPr>
        <w:t xml:space="preserve"> </w:t>
      </w:r>
      <w:r>
        <w:rPr>
          <w:rFonts w:ascii="Times New Roman" w:hAnsi="Times New Roman"/>
          <w:color w:val="000000"/>
          <w:sz w:val="24"/>
        </w:rPr>
        <w:t>million was deposited during the second quarter of 2026 from the sale of two</w:t>
      </w:r>
      <w:r>
        <w:rPr>
          <w:rFonts w:ascii="Times New Roman" w:hAnsi="Times New Roman"/>
          <w:color w:val="000000"/>
          <w:sz w:val="20"/>
        </w:rPr>
        <w:t xml:space="preserve"> </w:t>
      </w:r>
      <w:r>
        <w:rPr>
          <w:rFonts w:ascii="Times New Roman" w:hAnsi="Times New Roman"/>
          <w:color w:val="000000"/>
          <w:sz w:val="24"/>
        </w:rPr>
        <w:t>PSVs and one</w:t>
      </w:r>
      <w:r>
        <w:rPr>
          <w:rFonts w:ascii="Times New Roman" w:hAnsi="Times New Roman"/>
          <w:color w:val="000000"/>
          <w:sz w:val="20"/>
        </w:rPr>
        <w:t xml:space="preserve"> </w:t>
      </w:r>
      <w:r>
        <w:rPr>
          <w:rFonts w:ascii="Times New Roman" w:hAnsi="Times New Roman"/>
          <w:color w:val="000000"/>
          <w:sz w:val="24"/>
        </w:rPr>
        <w:t>FSV, and the remainder from prior vessel sales, all in accordance with the terms of the 2024 SMFH Credit Facility as previously described in the 2025 Annual Report. The funds deposited in the restricted account will be used to fully fund the remaining payments for the construction of the two</w:t>
      </w:r>
      <w:r>
        <w:rPr>
          <w:rFonts w:ascii="Times New Roman" w:hAnsi="Times New Roman"/>
          <w:color w:val="000000"/>
          <w:sz w:val="20"/>
        </w:rPr>
        <w:t xml:space="preserve"> </w:t>
      </w:r>
      <w:r>
        <w:rPr>
          <w:rFonts w:ascii="Times New Roman" w:hAnsi="Times New Roman"/>
          <w:color w:val="000000"/>
          <w:sz w:val="24"/>
        </w:rPr>
        <w:t>PSVs, without the need for any additional proceeds from Tranche B of the 2024 SMFH Credit Facility, of which $16.4</w:t>
      </w:r>
      <w:r>
        <w:rPr>
          <w:rFonts w:ascii="Times New Roman" w:hAnsi="Times New Roman"/>
          <w:color w:val="000000"/>
          <w:sz w:val="20"/>
        </w:rPr>
        <w:t xml:space="preserve"> </w:t>
      </w:r>
      <w:r>
        <w:rPr>
          <w:rFonts w:ascii="Times New Roman" w:hAnsi="Times New Roman"/>
          <w:color w:val="000000"/>
          <w:sz w:val="24"/>
        </w:rPr>
        <w:t>million was drawn as of June 30, 2026. During the second quarter of 2026, the Company exercised its right to cancel the remaining borrowing capacity of $24.6</w:t>
      </w:r>
      <w:r>
        <w:rPr>
          <w:rFonts w:ascii="Times New Roman" w:hAnsi="Times New Roman"/>
          <w:color w:val="000000"/>
          <w:sz w:val="20"/>
        </w:rPr>
        <w:t xml:space="preserve"> </w:t>
      </w:r>
      <w:r>
        <w:rPr>
          <w:rFonts w:ascii="Times New Roman" w:hAnsi="Times New Roman"/>
          <w:color w:val="000000"/>
          <w:sz w:val="24"/>
        </w:rPr>
        <w:t>million of this tranche in accordance with the terms of the 2024 SMFH Credit Facility.</w:t>
      </w:r>
    </w:p>
    <w:p>
      <w:pPr>
        <w:pStyle w:val="TextBody"/>
        <w:bidi w:val="0"/>
        <w:spacing w:before="200" w:after="283"/>
        <w:jc w:val="both"/>
        <w:rPr>
          <w:rFonts w:ascii="Times New Roman" w:hAnsi="Times New Roman"/>
          <w:sz w:val="20"/>
        </w:rPr>
      </w:pPr>
      <w:r>
        <w:rPr>
          <w:rFonts w:ascii="Times New Roman" w:hAnsi="Times New Roman"/>
          <w:color w:val="000000"/>
          <w:sz w:val="24"/>
        </w:rPr>
        <w:t>In December 2015, the Brazilian Federal Revenue Office issued a tax-deficiency notice to Seabulk Offshore do Brasil Ltda., an indirect wholly-owned subsidiary of SEACOR Marine (“Seabulk Offshore do Brasil”), with respect to certain profit participation contributions (also known as “PIS”) and social security financing contributions (also known as “COFINS”) requirements alleged to be due from Seabulk Offshore do Brasil (“Deficiency Notice”) in respect of the period of January 2011 until December 2012. In January 2016, the Company administratively appealed the Deficiency Notice on the basis that, among other arguments, (i) such contributions were not applicable in the circumstances of a 70%/30% cost allocation structure, and (ii) the tax</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Times New Roman" w:hAnsi="Times New Roman"/>
          <w:color w:val="000000"/>
          <w:sz w:val="24"/>
        </w:rPr>
      </w:pPr>
      <w:r>
        <w:rPr>
          <w:rFonts w:ascii="Times New Roman" w:hAnsi="Times New Roman"/>
          <w:color w:val="000000"/>
          <w:sz w:val="24"/>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sz w:val="20"/>
        </w:rPr>
      </w:pPr>
      <w:r>
        <w:rPr>
          <w:rFonts w:ascii="Times New Roman" w:hAnsi="Times New Roman"/>
          <w:color w:val="000000"/>
          <w:sz w:val="24"/>
        </w:rPr>
        <w:t>inspector had incorrectly determined that values received from outside of Brazil could not be classified as expense refunds. The initial appeal was dismissed by the Brazilian Federal Revenue Office and the Company appealed such dismissal and is currently awaiting an administrative trial. A local Brazilian law has been enacted that supports the Company’s position that such contribution requirements are not applicable, but it is uncertain whether such law will be taken into consideration with respect to administrative proceedings commenced prior to the enactment of the law. Accordingly, the success of Seabulk Offshore do Brasil in the administrative proceedings cannot be assured and the matter may need to be addressed through judicial court proceedings. The potential levy arising from the Deficiency Notice is R$31.4</w:t>
      </w:r>
      <w:r>
        <w:rPr>
          <w:rFonts w:ascii="Times New Roman" w:hAnsi="Times New Roman"/>
          <w:color w:val="000000"/>
          <w:sz w:val="20"/>
        </w:rPr>
        <w:t xml:space="preserve"> </w:t>
      </w:r>
      <w:r>
        <w:rPr>
          <w:rFonts w:ascii="Times New Roman" w:hAnsi="Times New Roman"/>
          <w:color w:val="000000"/>
          <w:sz w:val="24"/>
        </w:rPr>
        <w:t>million based on a historical potential levy of R$12.87</w:t>
      </w:r>
      <w:r>
        <w:rPr>
          <w:rFonts w:ascii="Times New Roman" w:hAnsi="Times New Roman"/>
          <w:color w:val="000000"/>
          <w:sz w:val="20"/>
        </w:rPr>
        <w:t xml:space="preserve"> </w:t>
      </w:r>
      <w:r>
        <w:rPr>
          <w:rFonts w:ascii="Times New Roman" w:hAnsi="Times New Roman"/>
          <w:color w:val="000000"/>
          <w:sz w:val="24"/>
        </w:rPr>
        <w:t>million (USD $6.1</w:t>
      </w:r>
      <w:r>
        <w:rPr>
          <w:rFonts w:ascii="Times New Roman" w:hAnsi="Times New Roman"/>
          <w:color w:val="000000"/>
          <w:sz w:val="20"/>
        </w:rPr>
        <w:t xml:space="preserve"> </w:t>
      </w:r>
      <w:r>
        <w:rPr>
          <w:rFonts w:ascii="Times New Roman" w:hAnsi="Times New Roman"/>
          <w:color w:val="000000"/>
          <w:sz w:val="24"/>
        </w:rPr>
        <w:t>million and USD $2.5</w:t>
      </w:r>
      <w:r>
        <w:rPr>
          <w:rFonts w:ascii="Times New Roman" w:hAnsi="Times New Roman"/>
          <w:color w:val="000000"/>
          <w:sz w:val="20"/>
        </w:rPr>
        <w:t xml:space="preserve"> </w:t>
      </w:r>
      <w:r>
        <w:rPr>
          <w:rFonts w:ascii="Times New Roman" w:hAnsi="Times New Roman"/>
          <w:color w:val="000000"/>
          <w:sz w:val="24"/>
        </w:rPr>
        <w:t>million, respectively, based on the exchange rate as of June 30, 2026).</w:t>
      </w:r>
    </w:p>
    <w:p>
      <w:pPr>
        <w:pStyle w:val="TextBody"/>
        <w:bidi w:val="0"/>
        <w:spacing w:before="200" w:after="283"/>
        <w:jc w:val="both"/>
        <w:rPr>
          <w:rFonts w:ascii="Times New Roman" w:hAnsi="Times New Roman"/>
          <w:color w:val="000000"/>
          <w:sz w:val="24"/>
        </w:rPr>
      </w:pPr>
      <w:r>
        <w:rPr>
          <w:rFonts w:ascii="Times New Roman" w:hAnsi="Times New Roman"/>
          <w:color w:val="000000"/>
          <w:sz w:val="24"/>
        </w:rPr>
        <w:t>In the normal course of its business, the Company becomes involved in various other litigation matters including, among others, claims by third parties for alleged property damages and personal injuries. Management has used estimates in determining the Company’s potential exposure to these matters and has recorded reserves in its financial statements related thereto where appropriate. It is possible that a change in the Company’s estimates of that exposure could occur, but the Company does not expect that such changes in estimated costs would have a material effect on the Company’s consolidated financial position, results of operations or cash flows.</w:t>
      </w:r>
    </w:p>
    <w:p>
      <w:pPr>
        <w:pStyle w:val="TextBody"/>
        <w:bidi w:val="0"/>
        <w:spacing w:before="200" w:after="283"/>
        <w:jc w:val="both"/>
        <w:rPr>
          <w:rFonts w:ascii="Times New Roman" w:hAnsi="Times New Roman"/>
          <w:color w:val="000000"/>
          <w:sz w:val="24"/>
        </w:rPr>
      </w:pPr>
      <w:r>
        <w:rPr>
          <w:rFonts w:ascii="Times New Roman" w:hAnsi="Times New Roman"/>
          <w:color w:val="000000"/>
          <w:sz w:val="24"/>
        </w:rPr>
        <w:t>Certain of the Company’s subsidiaries are participating employers in two industry-wide, multi-employer, defined benefit pension funds in the United Kingdom: the U.K Merchant Navy Officers Pension Fund (“MNOPF”) and the U.K. Merchant Navy Ratings Pension Fund (“MNRPF”). The Company’s participation in the MNOPF began with the acquisition of the Stirling group of companies (the “Stirling Group”) in 2001 and relates to certain officers employed between 1978 and 2002 by the Stirling Group and/or its predecessors. The Company’s participation in the MNRPF also began with the acquisition of the Stirling Group in 2001 and relates to ratings employed by the Stirling Group and/or its predecessors through today. Both of these plans are in deficit positions and, depending upon the results of future actuarial valuations, it is possible that the plans could experience funding deficits that will require the Company to recognize payroll related operating expenses in the periods invoices are received. As of June 30, 2026, all invoices received related to MNOPF and MNRPF have been settled in full.</w:t>
      </w:r>
    </w:p>
    <w:p>
      <w:pPr>
        <w:pStyle w:val="TextBody"/>
        <w:bidi w:val="0"/>
        <w:spacing w:before="200" w:after="283"/>
        <w:jc w:val="both"/>
        <w:rPr>
          <w:rFonts w:ascii="Times New Roman" w:hAnsi="Times New Roman"/>
          <w:b/>
          <w:color w:val="000000"/>
          <w:sz w:val="24"/>
        </w:rPr>
      </w:pPr>
      <w:r>
        <w:rPr>
          <w:rFonts w:ascii="Times New Roman" w:hAnsi="Times New Roman"/>
          <w:b/>
          <w:color w:val="000000"/>
          <w:sz w:val="24"/>
        </w:rPr>
        <w:t>10.</w:t>
      </w:r>
    </w:p>
    <w:p>
      <w:pPr>
        <w:pStyle w:val="TextBody"/>
        <w:bidi w:val="0"/>
        <w:spacing w:before="200" w:after="283"/>
        <w:jc w:val="both"/>
        <w:rPr>
          <w:rFonts w:ascii="Times New Roman" w:hAnsi="Times New Roman"/>
          <w:b/>
          <w:color w:val="000000"/>
          <w:sz w:val="24"/>
        </w:rPr>
      </w:pPr>
      <w:r>
        <w:rPr>
          <w:rFonts w:ascii="Times New Roman" w:hAnsi="Times New Roman"/>
          <w:b/>
          <w:color w:val="000000"/>
          <w:sz w:val="24"/>
        </w:rPr>
        <w:t>STOCK BASED COMPENSATION</w:t>
      </w:r>
    </w:p>
    <w:p>
      <w:pPr>
        <w:pStyle w:val="TextBody"/>
        <w:bidi w:val="0"/>
        <w:spacing w:before="200" w:after="200"/>
        <w:jc w:val="both"/>
        <w:rPr>
          <w:rFonts w:ascii="Times New Roman" w:hAnsi="Times New Roman"/>
          <w:color w:val="000000"/>
          <w:sz w:val="24"/>
        </w:rPr>
      </w:pPr>
      <w:r>
        <w:rPr>
          <w:rFonts w:ascii="Times New Roman" w:hAnsi="Times New Roman"/>
          <w:color w:val="000000"/>
          <w:sz w:val="24"/>
        </w:rPr>
        <w:t>Transactions in connection with the Company’s Equity Incentive Plans during the six months ended June 30, 2026 were as follows:</w:t>
      </w:r>
    </w:p>
    <w:tbl>
      <w:tblPr>
        <w:tblW w:w="4345" w:type="dxa"/>
        <w:jc w:val="left"/>
        <w:tblInd w:w="0" w:type="dxa"/>
        <w:tblLayout w:type="fixed"/>
        <w:tblCellMar>
          <w:top w:w="28" w:type="dxa"/>
          <w:left w:w="28" w:type="dxa"/>
          <w:bottom w:w="28" w:type="dxa"/>
          <w:right w:w="28" w:type="dxa"/>
        </w:tblCellMar>
      </w:tblPr>
      <w:tblGrid>
        <w:gridCol w:w="3016"/>
        <w:gridCol w:w="146"/>
        <w:gridCol w:w="146"/>
        <w:gridCol w:w="826"/>
        <w:gridCol w:w="211"/>
      </w:tblGrid>
      <w:tr>
        <w:trPr/>
        <w:tc>
          <w:tcPr>
            <w:tcW w:w="30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0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Restricted Stock Activity: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Outstanding as of December 31, 2025 </w:t>
            </w:r>
            <w:r>
              <w:rPr>
                <w:rFonts w:ascii="Times New Roman" w:hAnsi="Times New Roman"/>
                <w:color w:val="000000"/>
                <w:sz w:val="12"/>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1,304,145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Granted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389,232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Vested </w:t>
            </w:r>
            <w:r>
              <w:rPr>
                <w:rFonts w:ascii="Times New Roman" w:hAnsi="Times New Roman"/>
                <w:color w:val="000000"/>
                <w:sz w:val="12"/>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(710,637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0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Forfeited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(5,426</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Outstanding as of June 30, 2026 </w:t>
            </w:r>
            <w:r>
              <w:rPr>
                <w:rFonts w:ascii="Times New Roman" w:hAnsi="Times New Roman"/>
                <w:color w:val="000000"/>
                <w:sz w:val="12"/>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977,314</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01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Stock Option Activity: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0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Outstanding as of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1,008,865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(2,500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0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Outstanding as of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1,006,365</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pBdr>
          <w:bottom w:val="single" w:sz="4" w:space="1" w:color="000000"/>
        </w:pBdr>
        <w:bidi w:val="0"/>
        <w:jc w:val="both"/>
        <w:rPr/>
      </w:pPr>
      <w:r>
        <w:rPr/>
        <w:t> </w:t>
      </w:r>
    </w:p>
    <w:p>
      <w:pPr>
        <w:pStyle w:val="TextBody"/>
        <w:bidi w:val="0"/>
        <w:spacing w:before="40" w:after="283"/>
        <w:jc w:val="both"/>
        <w:rPr>
          <w:rFonts w:ascii="Times New Roman" w:hAnsi="Times New Roman"/>
          <w:color w:val="000000"/>
          <w:sz w:val="16"/>
        </w:rPr>
      </w:pPr>
      <w:r>
        <w:rPr>
          <w:rFonts w:ascii="Times New Roman" w:hAnsi="Times New Roman"/>
          <w:color w:val="000000"/>
          <w:sz w:val="16"/>
        </w:rPr>
        <w:t>(1)</w:t>
      </w:r>
    </w:p>
    <w:p>
      <w:pPr>
        <w:pStyle w:val="TextBody"/>
        <w:bidi w:val="0"/>
        <w:spacing w:before="40" w:after="283"/>
        <w:jc w:val="both"/>
        <w:rPr>
          <w:rFonts w:ascii="Times New Roman" w:hAnsi="Times New Roman"/>
          <w:sz w:val="24"/>
        </w:rPr>
      </w:pPr>
      <w:r>
        <w:rPr>
          <w:rFonts w:ascii="Times New Roman" w:hAnsi="Times New Roman"/>
          <w:color w:val="000000"/>
          <w:sz w:val="16"/>
        </w:rPr>
        <w:t>Includes 30,923</w:t>
      </w:r>
      <w:r>
        <w:rPr>
          <w:rFonts w:ascii="Times New Roman" w:hAnsi="Times New Roman"/>
          <w:color w:val="000000"/>
          <w:sz w:val="24"/>
        </w:rPr>
        <w:t xml:space="preserve"> </w:t>
      </w:r>
      <w:r>
        <w:rPr>
          <w:rFonts w:ascii="Times New Roman" w:hAnsi="Times New Roman"/>
          <w:color w:val="000000"/>
          <w:sz w:val="16"/>
        </w:rPr>
        <w:t>grants of performance-based restricted stock units that satisfied the performance obligation and are therefore likely to vest and excludes 585,842</w:t>
      </w:r>
      <w:r>
        <w:rPr>
          <w:rFonts w:ascii="Times New Roman" w:hAnsi="Times New Roman"/>
          <w:color w:val="000000"/>
          <w:sz w:val="24"/>
        </w:rPr>
        <w:t xml:space="preserve"> </w:t>
      </w:r>
      <w:r>
        <w:rPr>
          <w:rFonts w:ascii="Times New Roman" w:hAnsi="Times New Roman"/>
          <w:color w:val="000000"/>
          <w:sz w:val="16"/>
        </w:rPr>
        <w:t>grants of performance-based restricted stock units that are not considered outstanding until such time that they become probable to vest.</w:t>
      </w:r>
    </w:p>
    <w:p>
      <w:pPr>
        <w:pStyle w:val="TextBody"/>
        <w:bidi w:val="0"/>
        <w:spacing w:before="40" w:after="283"/>
        <w:jc w:val="both"/>
        <w:rPr>
          <w:rFonts w:ascii="Times New Roman" w:hAnsi="Times New Roman"/>
          <w:color w:val="000000"/>
          <w:sz w:val="16"/>
        </w:rPr>
      </w:pPr>
      <w:r>
        <w:rPr>
          <w:rFonts w:ascii="Times New Roman" w:hAnsi="Times New Roman"/>
          <w:color w:val="000000"/>
          <w:sz w:val="16"/>
        </w:rPr>
        <w:t>(2)</w:t>
      </w:r>
    </w:p>
    <w:p>
      <w:pPr>
        <w:pStyle w:val="TextBody"/>
        <w:bidi w:val="0"/>
        <w:spacing w:before="40" w:after="283"/>
        <w:jc w:val="both"/>
        <w:rPr>
          <w:rFonts w:ascii="Times New Roman" w:hAnsi="Times New Roman"/>
          <w:sz w:val="24"/>
        </w:rPr>
      </w:pPr>
      <w:r>
        <w:rPr>
          <w:rFonts w:ascii="Times New Roman" w:hAnsi="Times New Roman"/>
          <w:color w:val="000000"/>
          <w:sz w:val="16"/>
        </w:rPr>
        <w:t>Includes 30,923</w:t>
      </w:r>
      <w:r>
        <w:rPr>
          <w:rFonts w:ascii="Times New Roman" w:hAnsi="Times New Roman"/>
          <w:color w:val="000000"/>
          <w:sz w:val="24"/>
        </w:rPr>
        <w:t xml:space="preserve"> </w:t>
      </w:r>
      <w:r>
        <w:rPr>
          <w:rFonts w:ascii="Times New Roman" w:hAnsi="Times New Roman"/>
          <w:color w:val="000000"/>
          <w:sz w:val="16"/>
        </w:rPr>
        <w:t>vested grants of performance-based restricted stock units.</w:t>
      </w:r>
    </w:p>
    <w:p>
      <w:pPr>
        <w:pStyle w:val="TextBody"/>
        <w:bidi w:val="0"/>
        <w:spacing w:before="40" w:after="283"/>
        <w:jc w:val="both"/>
        <w:rPr>
          <w:rFonts w:ascii="Times New Roman" w:hAnsi="Times New Roman"/>
          <w:color w:val="000000"/>
          <w:sz w:val="16"/>
        </w:rPr>
      </w:pPr>
      <w:r>
        <w:rPr>
          <w:rFonts w:ascii="Times New Roman" w:hAnsi="Times New Roman"/>
          <w:color w:val="000000"/>
          <w:sz w:val="16"/>
        </w:rPr>
        <w:t>(3)</w:t>
      </w:r>
    </w:p>
    <w:p>
      <w:pPr>
        <w:pStyle w:val="TextBody"/>
        <w:bidi w:val="0"/>
        <w:spacing w:before="40" w:after="283"/>
        <w:jc w:val="both"/>
        <w:rPr>
          <w:rFonts w:ascii="Times New Roman" w:hAnsi="Times New Roman"/>
          <w:sz w:val="24"/>
        </w:rPr>
      </w:pPr>
      <w:r>
        <w:rPr>
          <w:rFonts w:ascii="Times New Roman" w:hAnsi="Times New Roman"/>
          <w:color w:val="000000"/>
          <w:sz w:val="16"/>
        </w:rPr>
        <w:t>Includes no grants of performance-based restricted stock units that satisfied the performance obligation and are therefore likely to vest and excludes 601,680</w:t>
      </w:r>
      <w:r>
        <w:rPr>
          <w:rFonts w:ascii="Times New Roman" w:hAnsi="Times New Roman"/>
          <w:color w:val="000000"/>
          <w:sz w:val="24"/>
        </w:rPr>
        <w:t xml:space="preserve"> </w:t>
      </w:r>
      <w:r>
        <w:rPr>
          <w:rFonts w:ascii="Times New Roman" w:hAnsi="Times New Roman"/>
          <w:color w:val="000000"/>
          <w:sz w:val="16"/>
        </w:rPr>
        <w:t>grants of performance-based restricted stock units that are not considered outstanding until such time that they become probable to vest.</w:t>
      </w:r>
    </w:p>
    <w:p>
      <w:pPr>
        <w:pStyle w:val="TextBody"/>
        <w:bidi w:val="0"/>
        <w:jc w:val="center"/>
        <w:rPr/>
      </w:pPr>
      <w:r>
        <w:rPr/>
        <w:t> </w:t>
      </w:r>
    </w:p>
    <w:p>
      <w:pPr>
        <w:pStyle w:val="TextBody"/>
        <w:bidi w:val="0"/>
        <w:jc w:val="center"/>
        <w:rPr>
          <w:rFonts w:ascii="Times New Roman" w:hAnsi="Times New Roman"/>
          <w:color w:val="000000"/>
          <w:sz w:val="24"/>
        </w:rPr>
      </w:pPr>
      <w:r>
        <w:rPr>
          <w:rFonts w:ascii="Times New Roman" w:hAnsi="Times New Roman"/>
          <w:color w:val="000000"/>
          <w:sz w:val="24"/>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sz w:val="20"/>
        </w:rPr>
      </w:pPr>
      <w:r>
        <w:rPr>
          <w:rFonts w:ascii="Times New Roman" w:hAnsi="Times New Roman"/>
          <w:color w:val="000000"/>
          <w:sz w:val="24"/>
        </w:rPr>
        <w:t>For the six months ended June 30, 2026, the Company acquired for treasury (i) 220,968</w:t>
      </w:r>
      <w:r>
        <w:rPr>
          <w:rFonts w:ascii="Times New Roman" w:hAnsi="Times New Roman"/>
          <w:color w:val="000000"/>
          <w:sz w:val="20"/>
        </w:rPr>
        <w:t xml:space="preserve"> </w:t>
      </w:r>
      <w:r>
        <w:rPr>
          <w:rFonts w:ascii="Times New Roman" w:hAnsi="Times New Roman"/>
          <w:color w:val="000000"/>
          <w:sz w:val="24"/>
        </w:rPr>
        <w:t>shares of Common Stock from its directors and employees to cover their tax withholding obligations upon the vesting of restricted share awards for an aggregate purchase price of $1.7</w:t>
      </w:r>
      <w:r>
        <w:rPr>
          <w:rFonts w:ascii="Times New Roman" w:hAnsi="Times New Roman"/>
          <w:color w:val="000000"/>
          <w:sz w:val="20"/>
        </w:rPr>
        <w:t xml:space="preserve"> </w:t>
      </w:r>
      <w:r>
        <w:rPr>
          <w:rFonts w:ascii="Times New Roman" w:hAnsi="Times New Roman"/>
          <w:color w:val="000000"/>
          <w:sz w:val="24"/>
        </w:rPr>
        <w:t>million, and (ii) 12,721</w:t>
      </w:r>
      <w:r>
        <w:rPr>
          <w:rFonts w:ascii="Times New Roman" w:hAnsi="Times New Roman"/>
          <w:color w:val="000000"/>
          <w:sz w:val="20"/>
        </w:rPr>
        <w:t xml:space="preserve"> </w:t>
      </w:r>
      <w:r>
        <w:rPr>
          <w:rFonts w:ascii="Times New Roman" w:hAnsi="Times New Roman"/>
          <w:color w:val="000000"/>
          <w:sz w:val="24"/>
        </w:rPr>
        <w:t>shares of Common Stock from its employees to cover their tax withholding obligations upon the vesting of performance-based restricted stock units for an aggregate purchase price of $0.1</w:t>
      </w:r>
      <w:r>
        <w:rPr>
          <w:rFonts w:ascii="Times New Roman" w:hAnsi="Times New Roman"/>
          <w:color w:val="000000"/>
          <w:sz w:val="20"/>
        </w:rPr>
        <w:t xml:space="preserve"> </w:t>
      </w:r>
      <w:r>
        <w:rPr>
          <w:rFonts w:ascii="Times New Roman" w:hAnsi="Times New Roman"/>
          <w:color w:val="000000"/>
          <w:sz w:val="24"/>
        </w:rPr>
        <w:t>million. These shares were purchased in accordance with the terms of the Company’s 2022 Equity Incentive Plan or 2025 Equity Incentive Plan, as applicable.</w:t>
      </w:r>
    </w:p>
    <w:p>
      <w:pPr>
        <w:pStyle w:val="TextBody"/>
        <w:bidi w:val="0"/>
        <w:spacing w:before="200" w:after="283"/>
        <w:jc w:val="both"/>
        <w:rPr>
          <w:rFonts w:ascii="Times New Roman" w:hAnsi="Times New Roman"/>
          <w:b/>
          <w:color w:val="000000"/>
          <w:sz w:val="24"/>
        </w:rPr>
      </w:pPr>
      <w:r>
        <w:rPr>
          <w:rFonts w:ascii="Times New Roman" w:hAnsi="Times New Roman"/>
          <w:b/>
          <w:color w:val="000000"/>
          <w:sz w:val="24"/>
        </w:rPr>
        <w:t>11.</w:t>
      </w:r>
    </w:p>
    <w:p>
      <w:pPr>
        <w:pStyle w:val="TextBody"/>
        <w:bidi w:val="0"/>
        <w:spacing w:before="200" w:after="283"/>
        <w:jc w:val="both"/>
        <w:rPr>
          <w:rFonts w:ascii="Times New Roman" w:hAnsi="Times New Roman"/>
          <w:b/>
          <w:color w:val="000000"/>
          <w:sz w:val="24"/>
        </w:rPr>
      </w:pPr>
      <w:r>
        <w:rPr>
          <w:rFonts w:ascii="Times New Roman" w:hAnsi="Times New Roman"/>
          <w:b/>
          <w:color w:val="000000"/>
          <w:sz w:val="24"/>
        </w:rPr>
        <w:t>SEGMENT INFORMATION</w:t>
      </w:r>
    </w:p>
    <w:p>
      <w:pPr>
        <w:pStyle w:val="TextBody"/>
        <w:bidi w:val="0"/>
        <w:spacing w:before="200" w:after="200"/>
        <w:jc w:val="both"/>
        <w:rPr>
          <w:rFonts w:ascii="Times New Roman" w:hAnsi="Times New Roman"/>
          <w:color w:val="000000"/>
          <w:sz w:val="24"/>
        </w:rPr>
      </w:pPr>
      <w:r>
        <w:rPr>
          <w:rFonts w:ascii="Times New Roman" w:hAnsi="Times New Roman"/>
          <w:color w:val="000000"/>
          <w:sz w:val="24"/>
        </w:rPr>
        <w:t>The Company’s segment presentation and basis of measurement of segment profit or loss were changed in the second quarter of 2026 from what was previously described in the 2025 Annual Report. Certain reclassifications of prior period information have been made to conform the current period’s reportable segment presentation as a result of the Company’s decision to consolidate management of the United States (primarily Gulf of America) and Latin America (primarily Guyana, Brazil and Mexico) segments into a combined Americas segment. In prior periods the United States and Latin America were reported as separate segments. Due to the reduction of the United States operating segment through reduced charter activities as well as the repositioning of vessels out of the region, the Company’s United States operations are no longer analyzed by the chief operating decision maker on a standalone basis but rather as part of the Americas segment. As a result, for purposes of segment reporting and management oversight, the United States operations are now combined with the Latin America operations and reported and managed as a combined Americas segment, and prior period information has been conformed to the new consolidated reporting segment. The following tables summarize the operating results, capital expenditures and assets of the Company’s reportable segments for the periods indicated (in thousands):</w:t>
      </w:r>
    </w:p>
    <w:tbl>
      <w:tblPr>
        <w:tblW w:w="8838" w:type="dxa"/>
        <w:jc w:val="left"/>
        <w:tblInd w:w="0" w:type="dxa"/>
        <w:tblLayout w:type="fixed"/>
        <w:tblCellMar>
          <w:top w:w="28" w:type="dxa"/>
          <w:left w:w="28" w:type="dxa"/>
          <w:bottom w:w="28" w:type="dxa"/>
          <w:right w:w="28" w:type="dxa"/>
        </w:tblCellMar>
      </w:tblPr>
      <w:tblGrid>
        <w:gridCol w:w="3571"/>
        <w:gridCol w:w="146"/>
        <w:gridCol w:w="250"/>
        <w:gridCol w:w="770"/>
        <w:gridCol w:w="146"/>
        <w:gridCol w:w="146"/>
        <w:gridCol w:w="251"/>
        <w:gridCol w:w="769"/>
        <w:gridCol w:w="146"/>
        <w:gridCol w:w="146"/>
        <w:gridCol w:w="196"/>
        <w:gridCol w:w="601"/>
        <w:gridCol w:w="166"/>
        <w:gridCol w:w="146"/>
        <w:gridCol w:w="196"/>
        <w:gridCol w:w="601"/>
        <w:gridCol w:w="591"/>
      </w:tblGrid>
      <w:tr>
        <w:trPr/>
        <w:tc>
          <w:tcPr>
            <w:tcW w:w="3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5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8"/>
              </w:rPr>
            </w:pPr>
            <w:r>
              <w:rPr>
                <w:rFonts w:ascii="Times New Roman" w:hAnsi="Times New Roman"/>
                <w:b/>
                <w:color w:val="000000"/>
                <w:sz w:val="18"/>
              </w:rPr>
              <w:t xml:space="preserve">Americas </w:t>
            </w:r>
            <w:r>
              <w:rPr>
                <w:rFonts w:ascii="Times New Roman" w:hAnsi="Times New Roman"/>
                <w:b/>
                <w:color w:val="000000"/>
                <w:sz w:val="12"/>
              </w:rPr>
              <w:t>(2)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Africa</w:t>
              <w:br/>
              <w:t>and Europe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Middle</w:t>
              <w:br/>
              <w:t>East</w:t>
              <w:br/>
              <w:t>and Asia</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For the Three Months Ended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5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5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Time charter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15,518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25,248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8,931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49,697</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Bareboat charter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834</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Other marine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1,353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1,041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1,705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4,099</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5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17,705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26,289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10,636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54,630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Direct Costs and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5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Operating: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357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Personnel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15,697</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57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Repairs and maintenance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12,648</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57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Drydocking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2,961</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57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Insurance and loss reserves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2,698</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57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Fuel, lubes and supplies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5,302</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57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3,271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3,154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953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7,378</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13,806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17,824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15,054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46,684</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5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Direct Vessel Profit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3,899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8,465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(4,418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7,946</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Costs and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5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Lease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266</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Administrative and general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12,343</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10,718</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5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23,327</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5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Gains on asset dispositions and impairments,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31,347</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15,966</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4"/>
        </w:rPr>
      </w:pPr>
      <w:r>
        <w:rPr>
          <w:rFonts w:ascii="Times New Roman" w:hAnsi="Times New Roman"/>
          <w:color w:val="000000"/>
          <w:sz w:val="24"/>
        </w:rPr>
        <w:t>16</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9178" w:type="dxa"/>
        <w:jc w:val="left"/>
        <w:tblInd w:w="0" w:type="dxa"/>
        <w:tblLayout w:type="fixed"/>
        <w:tblCellMar>
          <w:top w:w="28" w:type="dxa"/>
          <w:left w:w="28" w:type="dxa"/>
          <w:bottom w:w="28" w:type="dxa"/>
          <w:right w:w="28" w:type="dxa"/>
        </w:tblCellMar>
      </w:tblPr>
      <w:tblGrid>
        <w:gridCol w:w="3571"/>
        <w:gridCol w:w="146"/>
        <w:gridCol w:w="225"/>
        <w:gridCol w:w="795"/>
        <w:gridCol w:w="166"/>
        <w:gridCol w:w="146"/>
        <w:gridCol w:w="211"/>
        <w:gridCol w:w="809"/>
        <w:gridCol w:w="166"/>
        <w:gridCol w:w="146"/>
        <w:gridCol w:w="196"/>
        <w:gridCol w:w="751"/>
        <w:gridCol w:w="166"/>
        <w:gridCol w:w="146"/>
        <w:gridCol w:w="196"/>
        <w:gridCol w:w="751"/>
        <w:gridCol w:w="591"/>
      </w:tblGrid>
      <w:tr>
        <w:trPr/>
        <w:tc>
          <w:tcPr>
            <w:tcW w:w="3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5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8"/>
              </w:rPr>
            </w:pPr>
            <w:r>
              <w:rPr>
                <w:rFonts w:ascii="Times New Roman" w:hAnsi="Times New Roman"/>
                <w:b/>
                <w:color w:val="000000"/>
                <w:sz w:val="18"/>
              </w:rPr>
              <w:t xml:space="preserve">Americas </w:t>
            </w:r>
            <w:r>
              <w:rPr>
                <w:rFonts w:ascii="Times New Roman" w:hAnsi="Times New Roman"/>
                <w:b/>
                <w:color w:val="000000"/>
                <w:sz w:val="12"/>
              </w:rPr>
              <w:t>(2)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Africa</w:t>
              <w:br/>
              <w:t>and Europe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Middle</w:t>
              <w:br/>
              <w:t>East</w:t>
              <w:br/>
              <w:t>and Asia</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For the Six Months Ended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5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5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Time charter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25,361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47,782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18,511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91,654</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Bareboat charter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1,662</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Other marine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1,635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1,618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2,343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5,596</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5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28,658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49,400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20,854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98,912</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Direct Costs and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5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Operating: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357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Personnel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11,329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10,505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9,285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31,119</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57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Repairs and maintenance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10,722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23,248</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57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Drydocking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4,213</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57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Insurance and loss reserves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4,490</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57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Fuel, lubes and supplies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8,610</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57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4,655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6,346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1,576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12,577</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24,779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30,795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28,683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84,257</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5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Direct Vessel Profit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3,879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18,605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(7,829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14,655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Costs and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5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Lease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0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516</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Administrative and general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22,297</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8,548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21,048</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5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43,861</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5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Gains on asset dispositions and impairments,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38,795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9,589</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5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As of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5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5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Historical Cost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187,845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322,783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243,741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754,369</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Accumulated Depreciation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(91,051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(142,164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(118,625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(351,840</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35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96,794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180,619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125,116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402,529</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Total Assets </w:t>
            </w:r>
            <w:r>
              <w:rPr>
                <w:rFonts w:ascii="Times New Roman" w:hAnsi="Times New Roman"/>
                <w:color w:val="000000"/>
                <w:sz w:val="12"/>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120,274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224,039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198,329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542,642</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pBdr>
          <w:bottom w:val="single" w:sz="4" w:space="1" w:color="000000"/>
        </w:pBdr>
        <w:bidi w:val="0"/>
        <w:jc w:val="both"/>
        <w:rPr/>
      </w:pPr>
      <w:r>
        <w:rPr/>
        <w:t> </w:t>
      </w:r>
    </w:p>
    <w:p>
      <w:pPr>
        <w:pStyle w:val="TextBody"/>
        <w:bidi w:val="0"/>
        <w:spacing w:before="40" w:after="283"/>
        <w:jc w:val="both"/>
        <w:rPr>
          <w:rFonts w:ascii="Times New Roman" w:hAnsi="Times New Roman"/>
          <w:color w:val="000000"/>
          <w:sz w:val="16"/>
        </w:rPr>
      </w:pPr>
      <w:r>
        <w:rPr>
          <w:rFonts w:ascii="Times New Roman" w:hAnsi="Times New Roman"/>
          <w:color w:val="000000"/>
          <w:sz w:val="16"/>
        </w:rPr>
        <w:t>(1)</w:t>
      </w:r>
    </w:p>
    <w:p>
      <w:pPr>
        <w:pStyle w:val="TextBody"/>
        <w:bidi w:val="0"/>
        <w:spacing w:before="40" w:after="283"/>
        <w:jc w:val="both"/>
        <w:rPr/>
      </w:pPr>
      <w:r>
        <w:rPr>
          <w:rFonts w:ascii="Times New Roman" w:hAnsi="Times New Roman"/>
          <w:color w:val="000000"/>
          <w:sz w:val="16"/>
        </w:rPr>
        <w:t>Total Assets by region does not include corporate assets of $90.7</w:t>
      </w:r>
      <w:r>
        <w:rPr>
          <w:color w:val="000000"/>
        </w:rPr>
        <w:t xml:space="preserve"> </w:t>
      </w:r>
      <w:r>
        <w:rPr>
          <w:rFonts w:ascii="Times New Roman" w:hAnsi="Times New Roman"/>
          <w:color w:val="000000"/>
          <w:sz w:val="16"/>
        </w:rPr>
        <w:t>million as of June 30, 2026</w:t>
      </w:r>
      <w:r>
        <w:rPr>
          <w:rFonts w:ascii="Times New Roman" w:hAnsi="Times New Roman"/>
          <w:color w:val="000000"/>
          <w:sz w:val="20"/>
        </w:rPr>
        <w:t>.</w:t>
      </w:r>
    </w:p>
    <w:p>
      <w:pPr>
        <w:pStyle w:val="TextBody"/>
        <w:bidi w:val="0"/>
        <w:spacing w:before="40" w:after="200"/>
        <w:jc w:val="both"/>
        <w:rPr>
          <w:rFonts w:ascii="Times New Roman" w:hAnsi="Times New Roman"/>
          <w:color w:val="000000"/>
          <w:sz w:val="16"/>
        </w:rPr>
      </w:pPr>
      <w:r>
        <w:rPr>
          <w:rFonts w:ascii="Times New Roman" w:hAnsi="Times New Roman"/>
          <w:color w:val="000000"/>
          <w:sz w:val="16"/>
        </w:rPr>
        <w:t>(2)</w:t>
      </w:r>
    </w:p>
    <w:p>
      <w:pPr>
        <w:pStyle w:val="TextBody"/>
        <w:bidi w:val="0"/>
        <w:spacing w:before="40" w:after="200"/>
        <w:jc w:val="both"/>
        <w:rPr>
          <w:rFonts w:ascii="Times New Roman" w:hAnsi="Times New Roman"/>
          <w:color w:val="000000"/>
          <w:sz w:val="16"/>
        </w:rPr>
      </w:pPr>
      <w:r>
        <w:rPr>
          <w:rFonts w:ascii="Times New Roman" w:hAnsi="Times New Roman"/>
          <w:color w:val="000000"/>
          <w:sz w:val="16"/>
        </w:rPr>
        <w:t>In prior periods the United States and Latin America were reported as separate segments. Due to the reduction of the United States operating segment, the Company’s United States operations are no longer analyzed by the chief operating decision maker on a standalone basis but rather as part of the Americas segment. As a result, for purposes of segment reporting United States operations are now consolidated with Latin America operations and reported as a consolidated segment, and prior period information has been conformed to the new consolidated reporting segment.</w:t>
      </w:r>
    </w:p>
    <w:p>
      <w:pPr>
        <w:pStyle w:val="TextBody"/>
        <w:bidi w:val="0"/>
        <w:jc w:val="center"/>
        <w:rPr/>
      </w:pPr>
      <w:r>
        <w:rPr/>
        <w:t> </w:t>
      </w:r>
    </w:p>
    <w:p>
      <w:pPr>
        <w:pStyle w:val="TextBody"/>
        <w:bidi w:val="0"/>
        <w:jc w:val="center"/>
        <w:rPr>
          <w:rFonts w:ascii="Times New Roman" w:hAnsi="Times New Roman"/>
          <w:color w:val="000000"/>
          <w:sz w:val="24"/>
        </w:rPr>
      </w:pPr>
      <w:r>
        <w:rPr>
          <w:rFonts w:ascii="Times New Roman" w:hAnsi="Times New Roman"/>
          <w:color w:val="000000"/>
          <w:sz w:val="24"/>
        </w:rPr>
        <w:t>17</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8838" w:type="dxa"/>
        <w:jc w:val="left"/>
        <w:tblInd w:w="0" w:type="dxa"/>
        <w:tblLayout w:type="fixed"/>
        <w:tblCellMar>
          <w:top w:w="28" w:type="dxa"/>
          <w:left w:w="28" w:type="dxa"/>
          <w:bottom w:w="28" w:type="dxa"/>
          <w:right w:w="28" w:type="dxa"/>
        </w:tblCellMar>
      </w:tblPr>
      <w:tblGrid>
        <w:gridCol w:w="3571"/>
        <w:gridCol w:w="146"/>
        <w:gridCol w:w="250"/>
        <w:gridCol w:w="770"/>
        <w:gridCol w:w="146"/>
        <w:gridCol w:w="146"/>
        <w:gridCol w:w="251"/>
        <w:gridCol w:w="769"/>
        <w:gridCol w:w="146"/>
        <w:gridCol w:w="146"/>
        <w:gridCol w:w="196"/>
        <w:gridCol w:w="601"/>
        <w:gridCol w:w="166"/>
        <w:gridCol w:w="146"/>
        <w:gridCol w:w="196"/>
        <w:gridCol w:w="601"/>
        <w:gridCol w:w="591"/>
      </w:tblGrid>
      <w:tr>
        <w:trPr/>
        <w:tc>
          <w:tcPr>
            <w:tcW w:w="3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5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8"/>
              </w:rPr>
            </w:pPr>
            <w:r>
              <w:rPr>
                <w:rFonts w:ascii="Times New Roman" w:hAnsi="Times New Roman"/>
                <w:b/>
                <w:color w:val="000000"/>
                <w:sz w:val="18"/>
              </w:rPr>
              <w:t xml:space="preserve">Americas </w:t>
            </w:r>
            <w:r>
              <w:rPr>
                <w:rFonts w:ascii="Times New Roman" w:hAnsi="Times New Roman"/>
                <w:b/>
                <w:color w:val="000000"/>
                <w:sz w:val="12"/>
              </w:rPr>
              <w:t>(2)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Africa</w:t>
              <w:br/>
              <w:t>and Europe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Middle</w:t>
              <w:br/>
              <w:t>East</w:t>
              <w:br/>
              <w:t>and Asia</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For the Three Months Ended June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5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5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Time charter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20,773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24,535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12,365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57,673</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Bareboat charter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838</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Other marine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1,061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2,299</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5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22,672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25,341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12,797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60,810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Direct Costs and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5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Operating: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357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Personnel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8,943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18,969</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57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Repairs and maintenance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13,648</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57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Drydocking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5,143</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57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Insurance and loss reserves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2,982</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57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Fuel, lubes and supplies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4,296</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57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994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2,357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1,104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4,455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19,374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16,032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14,087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49,493</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5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Direct Vessel Profit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3,298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9,309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(1,290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11,317</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Costs and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5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Lease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325</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Administrative and general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11,998</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12,090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5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24,413</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5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Gains on asset dispositions and impairments,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19,163</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6,067</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00"/>
        <w:jc w:val="both"/>
        <w:rPr/>
      </w:pPr>
      <w:r>
        <w:rPr/>
        <w:t> </w:t>
      </w:r>
    </w:p>
    <w:p>
      <w:pPr>
        <w:pStyle w:val="TextBody"/>
        <w:bidi w:val="0"/>
        <w:spacing w:before="0" w:after="200"/>
        <w:jc w:val="both"/>
        <w:rPr/>
      </w:pPr>
      <w:r>
        <w:rPr/>
        <w:t> </w:t>
      </w:r>
    </w:p>
    <w:p>
      <w:pPr>
        <w:pStyle w:val="TextBody"/>
        <w:bidi w:val="0"/>
        <w:jc w:val="center"/>
        <w:rPr/>
      </w:pPr>
      <w:r>
        <w:rPr/>
        <w:t> </w:t>
      </w:r>
    </w:p>
    <w:p>
      <w:pPr>
        <w:pStyle w:val="TextBody"/>
        <w:bidi w:val="0"/>
        <w:jc w:val="center"/>
        <w:rPr>
          <w:rFonts w:ascii="Times New Roman" w:hAnsi="Times New Roman"/>
          <w:color w:val="000000"/>
          <w:sz w:val="24"/>
        </w:rPr>
      </w:pPr>
      <w:r>
        <w:rPr>
          <w:rFonts w:ascii="Times New Roman" w:hAnsi="Times New Roman"/>
          <w:color w:val="000000"/>
          <w:sz w:val="24"/>
        </w:rPr>
        <w:t>18</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9178" w:type="dxa"/>
        <w:jc w:val="left"/>
        <w:tblInd w:w="0" w:type="dxa"/>
        <w:tblLayout w:type="fixed"/>
        <w:tblCellMar>
          <w:top w:w="28" w:type="dxa"/>
          <w:left w:w="28" w:type="dxa"/>
          <w:bottom w:w="28" w:type="dxa"/>
          <w:right w:w="28" w:type="dxa"/>
        </w:tblCellMar>
      </w:tblPr>
      <w:tblGrid>
        <w:gridCol w:w="3571"/>
        <w:gridCol w:w="146"/>
        <w:gridCol w:w="211"/>
        <w:gridCol w:w="809"/>
        <w:gridCol w:w="166"/>
        <w:gridCol w:w="146"/>
        <w:gridCol w:w="211"/>
        <w:gridCol w:w="809"/>
        <w:gridCol w:w="166"/>
        <w:gridCol w:w="146"/>
        <w:gridCol w:w="196"/>
        <w:gridCol w:w="751"/>
        <w:gridCol w:w="166"/>
        <w:gridCol w:w="146"/>
        <w:gridCol w:w="196"/>
        <w:gridCol w:w="751"/>
        <w:gridCol w:w="591"/>
      </w:tblGrid>
      <w:tr>
        <w:trPr/>
        <w:tc>
          <w:tcPr>
            <w:tcW w:w="3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5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8"/>
              </w:rPr>
            </w:pPr>
            <w:r>
              <w:rPr>
                <w:rFonts w:ascii="Times New Roman" w:hAnsi="Times New Roman"/>
                <w:b/>
                <w:color w:val="000000"/>
                <w:sz w:val="18"/>
              </w:rPr>
              <w:t xml:space="preserve">Americas </w:t>
            </w:r>
            <w:r>
              <w:rPr>
                <w:rFonts w:ascii="Times New Roman" w:hAnsi="Times New Roman"/>
                <w:b/>
                <w:color w:val="000000"/>
                <w:sz w:val="12"/>
              </w:rPr>
              <w:t>(2)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Africa</w:t>
              <w:br/>
              <w:t>and Europe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Middle</w:t>
              <w:br/>
              <w:t>East</w:t>
              <w:br/>
              <w:t>and Asia</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For the Six Months Ended June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5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5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Time charter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36,161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45,370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28,075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109,606</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Bareboat charter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1,546</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Other marine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2,775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1,658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5,157</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5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40,482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47,028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28,799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116,309</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Direct Costs and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2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5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Operating: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357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Personnel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17,370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10,698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9,438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37,506</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57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Repairs and maintenance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22,168</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57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Drydocking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9,012</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57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Insurance and loss reserves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5,135</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57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Fuel, lubes and supplies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8,842</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57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1,689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5,084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1,985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8,758</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34,986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31,419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25,016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91,421</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5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Direct Vessel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5,496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15,609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3,783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24,888</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Costs and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2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5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Lease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662</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Administrative and general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2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23,484</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9,778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24,900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2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49,046</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5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Gains on asset dispositions and impairments,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24,972</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2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814</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5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As of June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5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2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5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Historical Cost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320,379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315,018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252,011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887,408</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Accumulated Depreciation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(145,095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(122,999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(109,171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(377,265</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35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175,284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192,019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142,840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510,143</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Total Assets </w:t>
            </w:r>
            <w:r>
              <w:rPr>
                <w:rFonts w:ascii="Times New Roman" w:hAnsi="Times New Roman"/>
                <w:color w:val="000000"/>
                <w:sz w:val="12"/>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209,413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229,966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191,228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630,607</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pBdr>
          <w:bottom w:val="single" w:sz="4" w:space="1" w:color="000000"/>
        </w:pBdr>
        <w:bidi w:val="0"/>
        <w:jc w:val="both"/>
        <w:rPr/>
      </w:pPr>
      <w:r>
        <w:rPr/>
        <w:t> </w:t>
      </w:r>
    </w:p>
    <w:p>
      <w:pPr>
        <w:pStyle w:val="TextBody"/>
        <w:bidi w:val="0"/>
        <w:spacing w:before="40" w:after="283"/>
        <w:jc w:val="both"/>
        <w:rPr>
          <w:rFonts w:ascii="Times New Roman" w:hAnsi="Times New Roman"/>
          <w:color w:val="000000"/>
          <w:sz w:val="16"/>
        </w:rPr>
      </w:pPr>
      <w:r>
        <w:rPr>
          <w:rFonts w:ascii="Times New Roman" w:hAnsi="Times New Roman"/>
          <w:color w:val="000000"/>
          <w:sz w:val="16"/>
        </w:rPr>
        <w:t>(1)</w:t>
      </w:r>
    </w:p>
    <w:p>
      <w:pPr>
        <w:pStyle w:val="TextBody"/>
        <w:bidi w:val="0"/>
        <w:spacing w:before="40" w:after="283"/>
        <w:jc w:val="both"/>
        <w:rPr>
          <w:rFonts w:ascii="sans-serif" w:hAnsi="sans-serif"/>
          <w:sz w:val="22"/>
        </w:rPr>
      </w:pPr>
      <w:r>
        <w:rPr>
          <w:rFonts w:ascii="Times New Roman" w:hAnsi="Times New Roman"/>
          <w:color w:val="000000"/>
          <w:sz w:val="16"/>
        </w:rPr>
        <w:t>Total Assets by region does not include corporate assets of $49.4</w:t>
      </w:r>
      <w:r>
        <w:rPr>
          <w:rFonts w:ascii="sans-serif" w:hAnsi="sans-serif"/>
          <w:color w:val="000000"/>
          <w:sz w:val="22"/>
        </w:rPr>
        <w:t xml:space="preserve"> </w:t>
      </w:r>
      <w:r>
        <w:rPr>
          <w:rFonts w:ascii="Times New Roman" w:hAnsi="Times New Roman"/>
          <w:color w:val="000000"/>
          <w:sz w:val="16"/>
        </w:rPr>
        <w:t>million as of June 30, 2025.</w:t>
      </w:r>
    </w:p>
    <w:p>
      <w:pPr>
        <w:pStyle w:val="TextBody"/>
        <w:bidi w:val="0"/>
        <w:spacing w:before="40" w:after="283"/>
        <w:jc w:val="both"/>
        <w:rPr>
          <w:rFonts w:ascii="Times New Roman" w:hAnsi="Times New Roman"/>
          <w:color w:val="000000"/>
          <w:sz w:val="16"/>
        </w:rPr>
      </w:pPr>
      <w:r>
        <w:rPr>
          <w:rFonts w:ascii="Times New Roman" w:hAnsi="Times New Roman"/>
          <w:color w:val="000000"/>
          <w:sz w:val="16"/>
        </w:rPr>
        <w:t>(2)</w:t>
      </w:r>
    </w:p>
    <w:p>
      <w:pPr>
        <w:pStyle w:val="TextBody"/>
        <w:bidi w:val="0"/>
        <w:spacing w:before="40" w:after="283"/>
        <w:jc w:val="both"/>
        <w:rPr>
          <w:rFonts w:ascii="Times New Roman" w:hAnsi="Times New Roman"/>
          <w:color w:val="000000"/>
          <w:sz w:val="16"/>
        </w:rPr>
      </w:pPr>
      <w:r>
        <w:rPr>
          <w:rFonts w:ascii="Times New Roman" w:hAnsi="Times New Roman"/>
          <w:color w:val="000000"/>
          <w:sz w:val="16"/>
        </w:rPr>
        <w:t>In prior periods the United States and Latin America were reported as separate segments. Due to the reduction of the United States operating segment, the Company’s United States operations are no longer analyzed by the chief operating decision maker on a standalone basis but rather as part of the Americas segment. As a result, for purposes of segment reporting United States operations are now consolidated with Latin America operations and reported as a consolidated segment, and prior period information has been conformed to the new consolidated reporting segment.</w:t>
      </w:r>
    </w:p>
    <w:p>
      <w:pPr>
        <w:pStyle w:val="TextBody"/>
        <w:bidi w:val="0"/>
        <w:spacing w:before="200" w:after="283"/>
        <w:jc w:val="both"/>
        <w:rPr>
          <w:rFonts w:ascii="Times New Roman" w:hAnsi="Times New Roman"/>
          <w:sz w:val="20"/>
        </w:rPr>
      </w:pPr>
      <w:r>
        <w:rPr>
          <w:rFonts w:ascii="Times New Roman" w:hAnsi="Times New Roman"/>
          <w:color w:val="000000"/>
          <w:sz w:val="24"/>
        </w:rPr>
        <w:t>The Company’s investments in 50% or less owned companies, which are accounted for under the equity method, also contribute to its consolidated results of operations. As of June 30, 2026, and 2025, the Company’s investments, at equity, and advances to 50% or less owned companies were $3.0</w:t>
      </w:r>
      <w:r>
        <w:rPr>
          <w:rFonts w:ascii="Times New Roman" w:hAnsi="Times New Roman"/>
          <w:color w:val="000000"/>
          <w:sz w:val="20"/>
        </w:rPr>
        <w:t xml:space="preserve"> </w:t>
      </w:r>
      <w:r>
        <w:rPr>
          <w:rFonts w:ascii="Times New Roman" w:hAnsi="Times New Roman"/>
          <w:color w:val="000000"/>
          <w:sz w:val="24"/>
        </w:rPr>
        <w:t>million and $2.3</w:t>
      </w:r>
      <w:r>
        <w:rPr>
          <w:rFonts w:ascii="Times New Roman" w:hAnsi="Times New Roman"/>
          <w:color w:val="000000"/>
          <w:sz w:val="20"/>
        </w:rPr>
        <w:t xml:space="preserve"> </w:t>
      </w:r>
      <w:r>
        <w:rPr>
          <w:rFonts w:ascii="Times New Roman" w:hAnsi="Times New Roman"/>
          <w:color w:val="000000"/>
          <w:sz w:val="24"/>
        </w:rPr>
        <w:t>million, respectively. Equity in earnings of 50% or less owned companies for the six months ended June 30, 2026 and 2025</w:t>
      </w:r>
      <w:r>
        <w:rPr>
          <w:rFonts w:ascii="Times New Roman" w:hAnsi="Times New Roman"/>
          <w:color w:val="000000"/>
          <w:sz w:val="20"/>
        </w:rPr>
        <w:t xml:space="preserve"> </w:t>
      </w:r>
      <w:r>
        <w:rPr>
          <w:rFonts w:ascii="Times New Roman" w:hAnsi="Times New Roman"/>
          <w:color w:val="000000"/>
          <w:sz w:val="24"/>
        </w:rPr>
        <w:t>were $0.1</w:t>
      </w:r>
      <w:r>
        <w:rPr>
          <w:rFonts w:ascii="Times New Roman" w:hAnsi="Times New Roman"/>
          <w:color w:val="000000"/>
          <w:sz w:val="20"/>
        </w:rPr>
        <w:t xml:space="preserve"> </w:t>
      </w:r>
      <w:r>
        <w:rPr>
          <w:rFonts w:ascii="Times New Roman" w:hAnsi="Times New Roman"/>
          <w:color w:val="000000"/>
          <w:sz w:val="24"/>
        </w:rPr>
        <w:t>million and $1.1</w:t>
      </w:r>
      <w:r>
        <w:rPr>
          <w:rFonts w:ascii="Times New Roman" w:hAnsi="Times New Roman"/>
          <w:color w:val="000000"/>
          <w:sz w:val="20"/>
        </w:rPr>
        <w:t xml:space="preserve"> </w:t>
      </w:r>
      <w:r>
        <w:rPr>
          <w:rFonts w:ascii="Times New Roman" w:hAnsi="Times New Roman"/>
          <w:color w:val="000000"/>
          <w:sz w:val="24"/>
        </w:rPr>
        <w:t>million, respectively.</w:t>
      </w:r>
    </w:p>
    <w:p>
      <w:pPr>
        <w:pStyle w:val="TextBody"/>
        <w:bidi w:val="0"/>
        <w:spacing w:before="200" w:after="283"/>
        <w:jc w:val="both"/>
        <w:rPr>
          <w:rFonts w:ascii="Times New Roman" w:hAnsi="Times New Roman"/>
          <w:b/>
          <w:color w:val="000000"/>
          <w:sz w:val="24"/>
        </w:rPr>
      </w:pPr>
      <w:r>
        <w:rPr>
          <w:rFonts w:ascii="Times New Roman" w:hAnsi="Times New Roman"/>
          <w:b/>
          <w:color w:val="000000"/>
          <w:sz w:val="24"/>
        </w:rPr>
        <w:t>12.</w:t>
      </w:r>
    </w:p>
    <w:p>
      <w:pPr>
        <w:pStyle w:val="TextBody"/>
        <w:bidi w:val="0"/>
        <w:spacing w:before="200" w:after="283"/>
        <w:jc w:val="both"/>
        <w:rPr>
          <w:rFonts w:ascii="Times New Roman" w:hAnsi="Times New Roman"/>
          <w:b/>
          <w:color w:val="000000"/>
          <w:sz w:val="24"/>
        </w:rPr>
      </w:pPr>
      <w:r>
        <w:rPr>
          <w:rFonts w:ascii="Times New Roman" w:hAnsi="Times New Roman"/>
          <w:b/>
          <w:color w:val="000000"/>
          <w:sz w:val="24"/>
        </w:rPr>
        <w:t>COST REDUCTION MEASURES</w:t>
      </w:r>
    </w:p>
    <w:p>
      <w:pPr>
        <w:pStyle w:val="TextBody"/>
        <w:bidi w:val="0"/>
        <w:spacing w:before="200" w:after="283"/>
        <w:jc w:val="both"/>
        <w:rPr>
          <w:rFonts w:ascii="Times New Roman" w:hAnsi="Times New Roman"/>
          <w:sz w:val="20"/>
        </w:rPr>
      </w:pPr>
      <w:r>
        <w:rPr>
          <w:rFonts w:ascii="Times New Roman" w:hAnsi="Times New Roman"/>
          <w:color w:val="000000"/>
          <w:sz w:val="24"/>
        </w:rPr>
        <w:t>During the fourth quarter of 2025, the Company initiated certain cost reduction measures to better align its operating expenses with the current state of the offshore marine industry, in general, and its business, in particular. These measures include a reduction of workforce, reorganization of the management structure and streamlining of operations. As a result of the cost reduction measures taken in the fourth quarter of 2025, the Company recognized savings of $2.0</w:t>
      </w:r>
      <w:r>
        <w:rPr>
          <w:rFonts w:ascii="Times New Roman" w:hAnsi="Times New Roman"/>
          <w:color w:val="000000"/>
          <w:sz w:val="20"/>
        </w:rPr>
        <w:t xml:space="preserve"> </w:t>
      </w:r>
      <w:r>
        <w:rPr>
          <w:rFonts w:ascii="Times New Roman" w:hAnsi="Times New Roman"/>
          <w:color w:val="000000"/>
          <w:sz w:val="24"/>
        </w:rPr>
        <w:t>million in wages and benefits expenses for the six months ended June 30, 2026. Management continues to focus on optimizing the cost structure and regional footprint of the business to help maintain the Company’s competitiveness in the industry, improve its operating leverage and position itself to take advantage of market opportunities.</w:t>
      </w:r>
    </w:p>
    <w:p>
      <w:pPr>
        <w:pStyle w:val="TextBody"/>
        <w:bidi w:val="0"/>
        <w:jc w:val="center"/>
        <w:rPr/>
      </w:pPr>
      <w:r>
        <w:rPr/>
        <w:t> </w:t>
      </w:r>
    </w:p>
    <w:p>
      <w:pPr>
        <w:pStyle w:val="TextBody"/>
        <w:bidi w:val="0"/>
        <w:jc w:val="center"/>
        <w:rPr>
          <w:rFonts w:ascii="Times New Roman" w:hAnsi="Times New Roman"/>
          <w:color w:val="000000"/>
          <w:sz w:val="24"/>
        </w:rPr>
      </w:pPr>
      <w:r>
        <w:rPr>
          <w:rFonts w:ascii="Times New Roman" w:hAnsi="Times New Roman"/>
          <w:color w:val="000000"/>
          <w:sz w:val="24"/>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b/>
          <w:color w:val="000000"/>
          <w:sz w:val="24"/>
        </w:rPr>
      </w:pPr>
      <w:r>
        <w:rPr>
          <w:rFonts w:ascii="Times New Roman" w:hAnsi="Times New Roman"/>
          <w:b/>
          <w:color w:val="000000"/>
          <w:sz w:val="24"/>
        </w:rPr>
        <w:t>13.</w:t>
      </w:r>
    </w:p>
    <w:p>
      <w:pPr>
        <w:pStyle w:val="TextBody"/>
        <w:bidi w:val="0"/>
        <w:spacing w:before="200" w:after="283"/>
        <w:jc w:val="both"/>
        <w:rPr>
          <w:rFonts w:ascii="Times New Roman" w:hAnsi="Times New Roman"/>
          <w:b/>
          <w:color w:val="000000"/>
          <w:sz w:val="24"/>
        </w:rPr>
      </w:pPr>
      <w:r>
        <w:rPr>
          <w:rFonts w:ascii="Times New Roman" w:hAnsi="Times New Roman"/>
          <w:b/>
          <w:color w:val="000000"/>
          <w:sz w:val="24"/>
        </w:rPr>
        <w:t>SUBSEQUENT EVENTS</w:t>
      </w:r>
    </w:p>
    <w:p>
      <w:pPr>
        <w:pStyle w:val="TextBody"/>
        <w:bidi w:val="0"/>
        <w:spacing w:before="200" w:after="283"/>
        <w:jc w:val="both"/>
        <w:rPr>
          <w:rFonts w:ascii="Times New Roman" w:hAnsi="Times New Roman"/>
          <w:color w:val="000000"/>
          <w:sz w:val="24"/>
        </w:rPr>
      </w:pPr>
      <w:r>
        <w:rPr>
          <w:rFonts w:ascii="Times New Roman" w:hAnsi="Times New Roman"/>
          <w:color w:val="000000"/>
          <w:sz w:val="24"/>
        </w:rPr>
        <w:t>The Company has evaluated subsequent events through the filing of this Quarterly Report on Form 10-Q and determined that there have been no material events that have occurred that are not properly recognized and/or disclosed in the consolidated financial statements.</w:t>
      </w:r>
    </w:p>
    <w:p>
      <w:pPr>
        <w:pStyle w:val="TextBody"/>
        <w:bidi w:val="0"/>
        <w:jc w:val="center"/>
        <w:rPr/>
      </w:pPr>
      <w:r>
        <w:rPr/>
        <w:t> </w:t>
      </w:r>
    </w:p>
    <w:p>
      <w:pPr>
        <w:pStyle w:val="TextBody"/>
        <w:bidi w:val="0"/>
        <w:jc w:val="center"/>
        <w:rPr>
          <w:rFonts w:ascii="Times New Roman" w:hAnsi="Times New Roman"/>
          <w:color w:val="000000"/>
          <w:sz w:val="24"/>
        </w:rPr>
      </w:pPr>
      <w:r>
        <w:rPr>
          <w:rFonts w:ascii="Times New Roman" w:hAnsi="Times New Roman"/>
          <w:color w:val="000000"/>
          <w:sz w:val="24"/>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bookmarkStart w:id="11" w:name="item_2_managements_discussion_analysis_f"/>
      <w:bookmarkEnd w:id="11"/>
      <w:r>
        <w:rPr>
          <w:rFonts w:ascii="Times New Roman" w:hAnsi="Times New Roman"/>
          <w:b/>
          <w:color w:val="000000"/>
          <w:sz w:val="24"/>
        </w:rPr>
        <w:t>ITEM 2. MANAGEMENT’S DISCUSSION AND ANALYSIS OF</w:t>
      </w:r>
      <w:r>
        <w:rPr>
          <w:rFonts w:ascii="Times New Roman" w:hAnsi="Times New Roman"/>
          <w:color w:val="000000"/>
          <w:sz w:val="20"/>
        </w:rPr>
        <w:t xml:space="preserve"> </w:t>
      </w:r>
      <w:r>
        <w:rPr>
          <w:rFonts w:ascii="Times New Roman" w:hAnsi="Times New Roman"/>
          <w:b/>
          <w:color w:val="000000"/>
          <w:sz w:val="24"/>
        </w:rPr>
        <w:t>FINANCIAL CONDITION AND RESULTS OF OPERATIONS</w:t>
      </w:r>
    </w:p>
    <w:p>
      <w:pPr>
        <w:pStyle w:val="TextBody"/>
        <w:bidi w:val="0"/>
        <w:spacing w:before="200" w:after="283"/>
        <w:jc w:val="both"/>
        <w:rPr>
          <w:rFonts w:ascii="Times New Roman" w:hAnsi="Times New Roman"/>
          <w:i/>
          <w:color w:val="000000"/>
          <w:sz w:val="24"/>
        </w:rPr>
      </w:pPr>
      <w:r>
        <w:rPr>
          <w:rFonts w:ascii="Times New Roman" w:hAnsi="Times New Roman"/>
          <w:i/>
          <w:color w:val="000000"/>
          <w:sz w:val="24"/>
        </w:rPr>
        <w:t>This Form 10-Q includes “forward-looking statements” within the meaning of the Private Securities Litigation Reform Act of 1995. Such forward-looking statements concern management’s expectations, strategic objectives, including our announcement of the commencement of a strategic review of the business, business prospects, anticipated economic performance and financial condition and other similar matters. Achievement of these expectations and strategic objectives, including any increase to shareholder value from the strategic review, business prospects, anticipated economic performance and financial condition involve significant known and unknown risks, uncertainties and other important factors that could cause the actual results, performance or achievements of results to differ materially from any future results, performance or achievements discussed or implied by such forward-looking statements. Certain of these risks, uncertainties and other important factors are discussed in the Risk Factors and Management’s Discussion and Analysis of Financial Condition and Results of Operations of the Company’s 2025 Annual Report on Form 10-K and this Quarterly Report on Form 10-Q. However, it should be understood that it is not possible to identify or predict all such risks, uncertainties and factors, and others may arise from time to time. All of these forward-looking statements constitute the Company’s cautionary statements under the Private Securities Litigation Reform Act of 1995. The words “anticipate,” “estimate,” “expect,” “project,” “intend,” “believe,” “plan,” “target,” “forecast” and similar expressions are intended to identify forward-looking statements. Forward looking statements speak only as of the date of the document in which they are made. The Company disclaims any obligation or undertaking to provide any updates or revisions to any forward-looking statement to reflect any change in the Company’s expectations or any change in events, conditions or circumstances on which the forward-looking statement is based. It is advisable, however, to consult any further disclosures the Company makes on related subjects in its Annual Reports on Form 10-K, Quarterly Reports on Form 10-Q and Current Reports on Form 8-K filed with the United States Securities and Exchange Commission.</w:t>
      </w:r>
    </w:p>
    <w:p>
      <w:pPr>
        <w:pStyle w:val="TextBody"/>
        <w:bidi w:val="0"/>
        <w:spacing w:before="200" w:after="283"/>
        <w:jc w:val="both"/>
        <w:rPr>
          <w:rFonts w:ascii="Times New Roman" w:hAnsi="Times New Roman"/>
          <w:i/>
          <w:color w:val="000000"/>
          <w:sz w:val="24"/>
        </w:rPr>
      </w:pPr>
      <w:r>
        <w:rPr>
          <w:rFonts w:ascii="Times New Roman" w:hAnsi="Times New Roman"/>
          <w:i/>
          <w:color w:val="000000"/>
          <w:sz w:val="24"/>
        </w:rPr>
        <w:t>The following Management’s Discussion and Analysis (the “MD&amp;A”) is intended to help the reader understand the Company’s financial condition and results of operations. The MD&amp;A is provided as a supplement to and should be read in conjunction with the unaudited consolidated financial statements and notes thereto included in this Quarterly Report on Form 10-Q, as well as “Management’s Discussion and Analysis of Financial Condition and Results of Operations” contained in the 2025 Annual Report.</w:t>
      </w:r>
    </w:p>
    <w:p>
      <w:pPr>
        <w:pStyle w:val="TextBody"/>
        <w:bidi w:val="0"/>
        <w:spacing w:before="200" w:after="283"/>
        <w:jc w:val="both"/>
        <w:rPr>
          <w:rFonts w:ascii="Times New Roman" w:hAnsi="Times New Roman"/>
          <w:b/>
          <w:color w:val="000000"/>
          <w:sz w:val="24"/>
        </w:rPr>
      </w:pPr>
      <w:r>
        <w:rPr>
          <w:rFonts w:ascii="Times New Roman" w:hAnsi="Times New Roman"/>
          <w:b/>
          <w:color w:val="000000"/>
          <w:sz w:val="24"/>
        </w:rPr>
        <w:t>Overview</w:t>
      </w:r>
    </w:p>
    <w:p>
      <w:pPr>
        <w:pStyle w:val="TextBody"/>
        <w:bidi w:val="0"/>
        <w:spacing w:before="200" w:after="283"/>
        <w:jc w:val="both"/>
        <w:rPr>
          <w:rFonts w:ascii="Times New Roman" w:hAnsi="Times New Roman"/>
          <w:sz w:val="20"/>
        </w:rPr>
      </w:pPr>
      <w:r>
        <w:rPr>
          <w:rFonts w:ascii="Times New Roman" w:hAnsi="Times New Roman"/>
          <w:color w:val="000000"/>
          <w:sz w:val="24"/>
        </w:rPr>
        <w:t>The Company provides global marine and support transportation services to offshore energy facilities worldwide. As of June 30, 2026, the Company operated a fleet of 38 support vessels, of which all were owned. The primary users of the Company’s services are major integrated national and international oil companies, independent oil and natural gas exploration and production companies, oil field service and construction companies, as well as offshore wind farm operators and offshore wind farm installation and maintenance companies.</w:t>
      </w:r>
      <w:r>
        <w:rPr>
          <w:rFonts w:ascii="Times New Roman" w:hAnsi="Times New Roman"/>
          <w:color w:val="000000"/>
          <w:sz w:val="20"/>
        </w:rPr>
        <w:t xml:space="preserve"> </w:t>
      </w:r>
    </w:p>
    <w:p>
      <w:pPr>
        <w:pStyle w:val="TextBody"/>
        <w:bidi w:val="0"/>
        <w:spacing w:before="200" w:after="283"/>
        <w:jc w:val="both"/>
        <w:rPr>
          <w:rFonts w:ascii="Times New Roman" w:hAnsi="Times New Roman"/>
          <w:sz w:val="20"/>
        </w:rPr>
      </w:pPr>
      <w:r>
        <w:rPr>
          <w:rFonts w:ascii="Times New Roman" w:hAnsi="Times New Roman"/>
          <w:color w:val="000000"/>
          <w:sz w:val="24"/>
        </w:rPr>
        <w:t>The Company operates and manages a diverse fleet of offshore support vessels that (i) deliver cargo and personnel to offshore installations, including offshore wind farms, (ii) assist offshore operations for production and storage facilities, (iii) provide construction, well work-over, offshore wind farm installation and decommissioning support and (iv) carry and launch equipment used underwater in drilling and well installation, maintenance, inspection and repair. Additionally, the Company’s vessels provide emergency response services and accommodations for technicians and specialists.</w:t>
      </w:r>
      <w:r>
        <w:rPr>
          <w:rFonts w:ascii="Times New Roman" w:hAnsi="Times New Roman"/>
          <w:color w:val="000000"/>
          <w:sz w:val="20"/>
        </w:rPr>
        <w:t xml:space="preserve"> </w:t>
      </w:r>
    </w:p>
    <w:p>
      <w:pPr>
        <w:pStyle w:val="TextBody"/>
        <w:bidi w:val="0"/>
        <w:spacing w:before="200" w:after="283"/>
        <w:jc w:val="both"/>
        <w:rPr>
          <w:rFonts w:ascii="Times New Roman" w:hAnsi="Times New Roman"/>
          <w:sz w:val="20"/>
        </w:rPr>
      </w:pPr>
      <w:r>
        <w:rPr>
          <w:rFonts w:ascii="Times New Roman" w:hAnsi="Times New Roman"/>
          <w:color w:val="000000"/>
          <w:sz w:val="24"/>
        </w:rPr>
        <w:t>The Company operates its fleet in three principal geographic regions: the Americas; Africa and Europe; and the Middle East and Asia. The Company’s vessels are highly mobile and regularly and routinely move between countries within a geographic region. In addition, the Company’s vessels are redeployed among geographic regions, subject to flag restrictions, as changes in market conditions dictate.</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Times New Roman" w:hAnsi="Times New Roman"/>
          <w:color w:val="000000"/>
          <w:sz w:val="24"/>
        </w:rPr>
      </w:pPr>
      <w:r>
        <w:rPr>
          <w:rFonts w:ascii="Times New Roman" w:hAnsi="Times New Roman"/>
          <w:color w:val="000000"/>
          <w:sz w:val="24"/>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b/>
          <w:i/>
          <w:color w:val="000000"/>
          <w:sz w:val="24"/>
        </w:rPr>
      </w:pPr>
      <w:r>
        <w:rPr>
          <w:rFonts w:ascii="Times New Roman" w:hAnsi="Times New Roman"/>
          <w:b/>
          <w:i/>
          <w:color w:val="000000"/>
          <w:sz w:val="24"/>
        </w:rPr>
        <w:t>Significant items affecting our results of operations</w:t>
      </w:r>
    </w:p>
    <w:p>
      <w:pPr>
        <w:pStyle w:val="TextBody"/>
        <w:bidi w:val="0"/>
        <w:spacing w:before="200" w:after="283"/>
        <w:jc w:val="both"/>
        <w:rPr>
          <w:rFonts w:ascii="Times New Roman" w:hAnsi="Times New Roman"/>
          <w:color w:val="000000"/>
          <w:sz w:val="24"/>
        </w:rPr>
      </w:pPr>
      <w:r>
        <w:rPr>
          <w:rFonts w:ascii="Times New Roman" w:hAnsi="Times New Roman"/>
          <w:color w:val="000000"/>
          <w:sz w:val="24"/>
        </w:rPr>
        <w:t>The number and type of vessels operated, their rates per day worked and their utilization levels are the key determinants of the Company’s operating results and cash flows. Unless a vessel is cold-stacked, there is little reduction in daily running costs for the vessels and, consequently, operating margins are most sensitive to changes in rates per day worked and utilization. The Company manages its fleet utilizing a global network of shore side support, administrative and finance personnel.</w:t>
      </w:r>
    </w:p>
    <w:p>
      <w:pPr>
        <w:pStyle w:val="TextBody"/>
        <w:bidi w:val="0"/>
        <w:spacing w:before="200" w:after="283"/>
        <w:jc w:val="both"/>
        <w:rPr>
          <w:rFonts w:ascii="Times New Roman" w:hAnsi="Times New Roman"/>
          <w:color w:val="000000"/>
          <w:sz w:val="24"/>
        </w:rPr>
      </w:pPr>
      <w:r>
        <w:rPr>
          <w:rFonts w:ascii="Times New Roman" w:hAnsi="Times New Roman"/>
          <w:color w:val="000000"/>
          <w:sz w:val="24"/>
        </w:rPr>
        <w:t>Offshore oil and natural gas market conditions are highly volatile. For example, oil prices experienced unprecedented volatility during 2020 due to the COVID-19 pandemic, with the price per barrel going negative for a short period of time. Oil prices steadily increased since the lows of the pandemic and hit a multi-year high of $122 per barrel during 2022 primarily as a result of the conflict between Russia and Ukraine but subsequently decreased to pre-conflict levels. Volatility of oil prices has more recently significantly increased and become even more difficult to predict with the onset of the conflict with Iran and the associated affects the conflict has had on one of the of the world’s most important oil producing regions. During the six months ended June 30, 2026, WTI oil prices reached a high of $113 per barrel and a low of $56 per barrel, ending the period at $70 per barrel.</w:t>
      </w:r>
    </w:p>
    <w:p>
      <w:pPr>
        <w:pStyle w:val="TextBody"/>
        <w:bidi w:val="0"/>
        <w:spacing w:before="200" w:after="283"/>
        <w:jc w:val="both"/>
        <w:rPr>
          <w:rFonts w:ascii="Times New Roman" w:hAnsi="Times New Roman"/>
          <w:color w:val="000000"/>
          <w:sz w:val="24"/>
        </w:rPr>
      </w:pPr>
      <w:r>
        <w:rPr>
          <w:rFonts w:ascii="Times New Roman" w:hAnsi="Times New Roman"/>
          <w:color w:val="000000"/>
          <w:sz w:val="24"/>
        </w:rPr>
        <w:t>While the Company has experienced difficult market conditions over the past few years due to volatile oil and natural gas prices and the focus of oil and natural gas producing companies on cost and capital discipline, the increases since the lows experienced during the COVID-19 pandemic in oil and natural gas prices has led to an increase in utilization, day rates and customer inquiries about new projects.</w:t>
      </w:r>
    </w:p>
    <w:p>
      <w:pPr>
        <w:pStyle w:val="TextBody"/>
        <w:bidi w:val="0"/>
        <w:spacing w:before="200" w:after="283"/>
        <w:jc w:val="both"/>
        <w:rPr>
          <w:rFonts w:ascii="Times New Roman" w:hAnsi="Times New Roman"/>
          <w:color w:val="000000"/>
          <w:sz w:val="24"/>
        </w:rPr>
      </w:pPr>
      <w:r>
        <w:rPr>
          <w:rFonts w:ascii="Times New Roman" w:hAnsi="Times New Roman"/>
          <w:color w:val="000000"/>
          <w:sz w:val="24"/>
        </w:rPr>
        <w:t>The Company closely monitors the availability of vessels in the offshore support vessel market as the utilization and day rates of the Company’s fleet is dependent on the supply and demand dynamics for its vessels. For example, low oil and natural gas prices and a corresponding decline in offshore exploration may reduce demand for the Company’s vessels and in the past such declines have forced many operators in the industry to restructure, liquidate assets or consolidate with other operators. Additionally, the delivery of newly built offshore support vessels to the industry-wide fleet has in the past contributed to an oversupply of vessels in the market, thereby further decreasing the demand for the Company’s existing offshore support vessel fleet. A combination of low customer exploration and drilling activity levels, and excess supply of offshore support vessels whether from laid up fleets or newly built vessels could, in isolation or together, have a material adverse effect on the Company’s business, financial position, results of operations, cash flows and growth prospects. Alternatively, increasing activity levels and a stable supply of offshore support vessels could support higher utilization and day rates and improved financial performance of the Company’s business.</w:t>
      </w:r>
    </w:p>
    <w:p>
      <w:pPr>
        <w:pStyle w:val="TextBody"/>
        <w:bidi w:val="0"/>
        <w:spacing w:before="200" w:after="283"/>
        <w:jc w:val="both"/>
        <w:rPr>
          <w:rFonts w:ascii="Times New Roman" w:hAnsi="Times New Roman"/>
          <w:color w:val="000000"/>
          <w:sz w:val="24"/>
        </w:rPr>
      </w:pPr>
      <w:r>
        <w:rPr>
          <w:rFonts w:ascii="Times New Roman" w:hAnsi="Times New Roman"/>
          <w:color w:val="000000"/>
          <w:sz w:val="24"/>
        </w:rPr>
        <w:t>Certain macro drivers somewhat independent of oil and natural gas prices may support the Company’s business, including: (i) underspending by oil and natural gas producers over the last five to ten years leading to pent up demand for maintenance and growth capital expenditures; (ii) improved extraction technologies; and (iii) the need for offshore wind farm support as the industry grows. While the Company expects that alternative forms of energy will continue to develop and add to the world’s energy mix, especially as certain governments, supranational groups, institutional investors, and various other parties focus on climate change causes and concerns, the Company believes that for the foreseeable future demand for gasoline and oil will be sustained, as will demand for natural gas, particularly in the context of expanded power generation demand worldwide. Some alternative forms of energy such as offshore wind farms support some of the Company’s operations and the Company expects such support to increase to the extent that development of these forms of renewable energy expands.</w:t>
      </w:r>
    </w:p>
    <w:p>
      <w:pPr>
        <w:pStyle w:val="TextBody"/>
        <w:bidi w:val="0"/>
        <w:spacing w:before="200" w:after="283"/>
        <w:jc w:val="both"/>
        <w:rPr>
          <w:rFonts w:ascii="Times New Roman" w:hAnsi="Times New Roman"/>
          <w:sz w:val="20"/>
        </w:rPr>
      </w:pPr>
      <w:r>
        <w:rPr>
          <w:rFonts w:ascii="Times New Roman" w:hAnsi="Times New Roman"/>
          <w:color w:val="000000"/>
          <w:sz w:val="24"/>
        </w:rPr>
        <w:t>The Company adheres to a strategy of cold-stacking vessels (removing from active service) during periods of weak utilization in order to reduce the daily running costs of operating the fleet, primarily personnel, repairs and maintenance costs, as well as to defer some drydocking costs into future periods. The Company considers various factors in determining which vessels to cold-stack, including upcoming dates for regulatory vessel</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Times New Roman" w:hAnsi="Times New Roman"/>
          <w:color w:val="000000"/>
          <w:sz w:val="24"/>
        </w:rPr>
      </w:pPr>
      <w:r>
        <w:rPr>
          <w:rFonts w:ascii="Times New Roman" w:hAnsi="Times New Roman"/>
          <w:color w:val="000000"/>
          <w:sz w:val="24"/>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4"/>
        </w:rPr>
      </w:pPr>
      <w:r>
        <w:rPr>
          <w:rFonts w:ascii="Times New Roman" w:hAnsi="Times New Roman"/>
          <w:color w:val="000000"/>
          <w:sz w:val="24"/>
        </w:rPr>
        <w:t>inspections and related drydocking requirements. The Company may maintain class certification on certain cold-stacked vessels, thereby incurring some drydocking costs while cold-stacked. Cold-stacked vessels are returned to active service when market conditions improve, or management anticipates improvement, typically leading to increased costs for drydocking, personnel, repair and maintenance in the periods immediately preceding the vessels’ return to active service. Depending on market conditions, vessels with similar characteristics and capabilities may be rotated between active service and cold-stack. On an ongoing basis, the Company reviews its cold-stacked vessels to determine if any should be designated as retired and removed from service based on the vessel’s physical condition, the expected costs to reactivate and restore class certification, if any, and its viability to operate within current and projected market conditions. As of June 30, 2026, none of the Company’s 38 owned vessels were cold-stacked worldwide.</w:t>
      </w:r>
    </w:p>
    <w:p>
      <w:pPr>
        <w:pStyle w:val="TextBody"/>
        <w:bidi w:val="0"/>
        <w:spacing w:before="200" w:after="283"/>
        <w:jc w:val="both"/>
        <w:rPr>
          <w:rFonts w:ascii="Times New Roman" w:hAnsi="Times New Roman"/>
          <w:b/>
          <w:color w:val="000000"/>
          <w:sz w:val="24"/>
        </w:rPr>
      </w:pPr>
      <w:r>
        <w:rPr>
          <w:rFonts w:ascii="Times New Roman" w:hAnsi="Times New Roman"/>
          <w:b/>
          <w:color w:val="000000"/>
          <w:sz w:val="24"/>
        </w:rPr>
        <w:t>Recent Developments</w:t>
      </w:r>
    </w:p>
    <w:p>
      <w:pPr>
        <w:pStyle w:val="TextBody"/>
        <w:bidi w:val="0"/>
        <w:spacing w:before="200" w:after="283"/>
        <w:jc w:val="both"/>
        <w:rPr>
          <w:rFonts w:ascii="Times New Roman" w:hAnsi="Times New Roman"/>
          <w:b/>
          <w:i/>
          <w:color w:val="000000"/>
          <w:sz w:val="24"/>
        </w:rPr>
      </w:pPr>
      <w:r>
        <w:rPr>
          <w:rFonts w:ascii="Times New Roman" w:hAnsi="Times New Roman"/>
          <w:b/>
          <w:i/>
          <w:color w:val="000000"/>
          <w:sz w:val="24"/>
        </w:rPr>
        <w:t>Strategic Alternatives Review</w:t>
      </w:r>
    </w:p>
    <w:p>
      <w:pPr>
        <w:pStyle w:val="TextBody"/>
        <w:bidi w:val="0"/>
        <w:spacing w:before="200" w:after="283"/>
        <w:jc w:val="both"/>
        <w:rPr>
          <w:rFonts w:ascii="Times New Roman" w:hAnsi="Times New Roman"/>
          <w:color w:val="000000"/>
          <w:sz w:val="24"/>
        </w:rPr>
      </w:pPr>
      <w:r>
        <w:rPr>
          <w:rFonts w:ascii="Times New Roman" w:hAnsi="Times New Roman"/>
          <w:color w:val="000000"/>
          <w:sz w:val="24"/>
        </w:rPr>
        <w:t>On July 29, 2026, the Company announced that its Board of Directors (“Board”) is evaluating potential strategic alternatives to maximize shareholder value. During the review process, the Board expects to evaluate a range of strategic alternatives that may include a sale of the Company, merger, other business combinations, sale of assets, or other transactions aimed at maximizing value for shareholders. The Board has retained independent financial advisors to assist in evaluating strategic alternatives. The Board and management team remain fully committed to acting in the best interests of the Company and its stakeholders throughout this evaluation process.</w:t>
      </w:r>
    </w:p>
    <w:p>
      <w:pPr>
        <w:pStyle w:val="TextBody"/>
        <w:bidi w:val="0"/>
        <w:spacing w:before="200" w:after="283"/>
        <w:jc w:val="both"/>
        <w:rPr>
          <w:rFonts w:ascii="Times New Roman" w:hAnsi="Times New Roman"/>
          <w:color w:val="000000"/>
          <w:sz w:val="24"/>
        </w:rPr>
      </w:pPr>
      <w:r>
        <w:rPr>
          <w:rFonts w:ascii="Times New Roman" w:hAnsi="Times New Roman"/>
          <w:color w:val="000000"/>
          <w:sz w:val="24"/>
        </w:rPr>
        <w:t>There can be no assurance that the strategic review process will result in any transaction or other strategic outcome. The Company has not established a timetable for completion of the review process and does not intend to disclose developments related to the review unless and until SEACOR Marine executes a definitive agreement with respect thereto, or the Board otherwise determines that further disclosure is appropriate or required.</w:t>
      </w:r>
    </w:p>
    <w:p>
      <w:pPr>
        <w:pStyle w:val="TextBody"/>
        <w:bidi w:val="0"/>
        <w:spacing w:before="200" w:after="283"/>
        <w:jc w:val="both"/>
        <w:rPr>
          <w:rFonts w:ascii="Times New Roman" w:hAnsi="Times New Roman"/>
          <w:b/>
          <w:i/>
          <w:color w:val="000000"/>
          <w:sz w:val="24"/>
        </w:rPr>
      </w:pPr>
      <w:r>
        <w:rPr>
          <w:rFonts w:ascii="Times New Roman" w:hAnsi="Times New Roman"/>
          <w:b/>
          <w:i/>
          <w:color w:val="000000"/>
          <w:sz w:val="24"/>
        </w:rPr>
        <w:t>Modification of 2024 Credit Agreement</w:t>
      </w:r>
    </w:p>
    <w:p>
      <w:pPr>
        <w:pStyle w:val="TextBody"/>
        <w:bidi w:val="0"/>
        <w:spacing w:before="200" w:after="283"/>
        <w:jc w:val="both"/>
        <w:rPr>
          <w:rFonts w:ascii="Times New Roman" w:hAnsi="Times New Roman"/>
          <w:color w:val="000000"/>
          <w:sz w:val="24"/>
        </w:rPr>
      </w:pPr>
      <w:r>
        <w:rPr>
          <w:rFonts w:ascii="Times New Roman" w:hAnsi="Times New Roman"/>
          <w:color w:val="000000"/>
          <w:sz w:val="24"/>
        </w:rPr>
        <w:t>On May 20, 2026, SEACOR Marine, as parent guarantor, and SEACOR Marine Foreign Holdings Inc., as borrower and wholly-owned subsidiary of the Company (“SMFH”), entered into a letter agreement (“Letter Agreement”) for the purposes of modifying that certain credit agreement, dated as of November 27, 2024, among the Company, SMFH, certain other wholly-owned subsidiaries of the Company, as subsidiary guarantors, an affiliate of EnTrust Global, as lender, Kroll Agency Services Limited, as facility agent, and Kroll Trustee Services Limited, as security trustee (the “2024 Credit Agreement”).</w:t>
      </w:r>
    </w:p>
    <w:p>
      <w:pPr>
        <w:pStyle w:val="TextBody"/>
        <w:bidi w:val="0"/>
        <w:spacing w:before="200" w:after="283"/>
        <w:jc w:val="both"/>
        <w:rPr>
          <w:rFonts w:ascii="Times New Roman" w:hAnsi="Times New Roman"/>
          <w:color w:val="000000"/>
          <w:sz w:val="24"/>
        </w:rPr>
      </w:pPr>
      <w:r>
        <w:rPr>
          <w:rFonts w:ascii="Times New Roman" w:hAnsi="Times New Roman"/>
          <w:color w:val="000000"/>
          <w:sz w:val="24"/>
        </w:rPr>
        <w:t>The Letter Agreement provided for (i) the release to SMFH of $13.7 million (the “Release”) from a restricted escrow account into which vessel sale proceeds are deposited from the sale of vessels that serve as collateral under the 2024 Credit Agreement (the “Escrow Account”) and (ii) the cancellation of the $24.6 million of undrawn commitments available under Tranche B of the 2024 Credit Agreement (“Tranche B”). The Tranche B commitments were exclusively available to make a portion of the payments for the construction of two platform supply vessels (“PSVs”), each with a contract price of $41.0 million per vessel. After giving effect to the Release, the Escrow Account held $41.0 million to be used to fully fund the remaining PSV construction payments without the need for any additional borrowings. The new PSVs are expected to be delivered in the fourth quarter of 2026 and the first quarter of 2027, respectively.</w:t>
      </w:r>
    </w:p>
    <w:p>
      <w:pPr>
        <w:pStyle w:val="TextBody"/>
        <w:bidi w:val="0"/>
        <w:spacing w:before="200" w:after="283"/>
        <w:jc w:val="both"/>
        <w:rPr>
          <w:rFonts w:ascii="Times New Roman" w:hAnsi="Times New Roman"/>
          <w:b/>
          <w:i/>
          <w:color w:val="000000"/>
          <w:sz w:val="24"/>
        </w:rPr>
      </w:pPr>
      <w:r>
        <w:rPr>
          <w:rFonts w:ascii="Times New Roman" w:hAnsi="Times New Roman"/>
          <w:b/>
          <w:i/>
          <w:color w:val="000000"/>
          <w:sz w:val="24"/>
        </w:rPr>
        <w:t>Cost Reduction Measures</w:t>
      </w:r>
    </w:p>
    <w:p>
      <w:pPr>
        <w:pStyle w:val="TextBody"/>
        <w:bidi w:val="0"/>
        <w:spacing w:before="200" w:after="283"/>
        <w:jc w:val="both"/>
        <w:rPr>
          <w:rFonts w:ascii="Times New Roman" w:hAnsi="Times New Roman"/>
          <w:sz w:val="20"/>
        </w:rPr>
      </w:pPr>
      <w:r>
        <w:rPr>
          <w:rFonts w:ascii="Times New Roman" w:hAnsi="Times New Roman"/>
          <w:color w:val="000000"/>
          <w:sz w:val="24"/>
        </w:rPr>
        <w:t>During the fourth quarter of 2025, the Company initiated certain cost reduction measures to better align its operating expenses with the current state of the offshore marine industry, in general, and its business, in particular. These measures include a reduction of workforce, reorganization of the management structure and</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Times New Roman" w:hAnsi="Times New Roman"/>
          <w:color w:val="000000"/>
          <w:sz w:val="24"/>
        </w:rPr>
      </w:pPr>
      <w:r>
        <w:rPr>
          <w:rFonts w:ascii="Times New Roman" w:hAnsi="Times New Roman"/>
          <w:color w:val="000000"/>
          <w:sz w:val="24"/>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4"/>
        </w:rPr>
      </w:pPr>
      <w:r>
        <w:rPr>
          <w:rFonts w:ascii="Times New Roman" w:hAnsi="Times New Roman"/>
          <w:color w:val="000000"/>
          <w:sz w:val="24"/>
        </w:rPr>
        <w:t>streamlining of operations. For the year ended December 31, 2025, the Company incurred one-time charges totaling $1.2 million related to severance charges arising from a reduction in workforce resulting in a decrease in annualized wages and benefits expenses of at least $3.9 million. Management continues to focus on optimizing the cost structure and regional footprint of the business to help maintain the Company’s competitiveness in the industry, improve its operating leverage and position itself to take advantage of market opportunities. As a result of the cost reduction measures, the Company recognized savings of $2.0 million in wages and benefits expenses for the six months ended June 30, 2026.</w:t>
      </w:r>
    </w:p>
    <w:p>
      <w:pPr>
        <w:pStyle w:val="TextBody"/>
        <w:bidi w:val="0"/>
        <w:spacing w:before="200" w:after="283"/>
        <w:jc w:val="both"/>
        <w:rPr>
          <w:rFonts w:ascii="Times New Roman" w:hAnsi="Times New Roman"/>
          <w:b/>
          <w:i/>
          <w:color w:val="000000"/>
          <w:sz w:val="24"/>
        </w:rPr>
      </w:pPr>
      <w:r>
        <w:rPr>
          <w:rFonts w:ascii="Times New Roman" w:hAnsi="Times New Roman"/>
          <w:b/>
          <w:i/>
          <w:color w:val="000000"/>
          <w:sz w:val="24"/>
        </w:rPr>
        <w:t>Vessel Sales</w:t>
      </w:r>
    </w:p>
    <w:p>
      <w:pPr>
        <w:pStyle w:val="TextBody"/>
        <w:bidi w:val="0"/>
        <w:spacing w:before="200" w:after="283"/>
        <w:jc w:val="both"/>
        <w:rPr>
          <w:rFonts w:ascii="Times New Roman" w:hAnsi="Times New Roman"/>
          <w:color w:val="000000"/>
          <w:sz w:val="24"/>
        </w:rPr>
      </w:pPr>
      <w:r>
        <w:rPr>
          <w:rFonts w:ascii="Times New Roman" w:hAnsi="Times New Roman"/>
          <w:color w:val="000000"/>
          <w:sz w:val="24"/>
        </w:rPr>
        <w:t>On May 20, 2026, the Company completed the sale of one 241.5 foot, DP-2 PSV built in 2009 for total proceeds of $8.0 million for a gain of approximately $7.4 million. Approximately $6.2 million of these sale proceeds were designated to make future payments on the construction of two PSVs and deposited in the Escrow Account.</w:t>
      </w:r>
    </w:p>
    <w:p>
      <w:pPr>
        <w:pStyle w:val="TextBody"/>
        <w:bidi w:val="0"/>
        <w:spacing w:before="200" w:after="283"/>
        <w:jc w:val="both"/>
        <w:rPr>
          <w:rFonts w:ascii="Times New Roman" w:hAnsi="Times New Roman"/>
          <w:color w:val="000000"/>
          <w:sz w:val="24"/>
        </w:rPr>
      </w:pPr>
      <w:r>
        <w:rPr>
          <w:rFonts w:ascii="Times New Roman" w:hAnsi="Times New Roman"/>
          <w:color w:val="000000"/>
          <w:sz w:val="24"/>
        </w:rPr>
        <w:t>On May 18, 2026, the Company completed the sale of two liftboats built in 2009 for total proceeds of $16.0 million for a gain of approximately $9.6 million. None of the sales proceeds from these liftboat sales were encumbered by the Company’s 2024 SMFH Credit Facility or required to be used to repay such facility.</w:t>
      </w:r>
    </w:p>
    <w:p>
      <w:pPr>
        <w:pStyle w:val="TextBody"/>
        <w:bidi w:val="0"/>
        <w:spacing w:before="200" w:after="283"/>
        <w:jc w:val="both"/>
        <w:rPr>
          <w:rFonts w:ascii="Times New Roman" w:hAnsi="Times New Roman"/>
          <w:sz w:val="20"/>
        </w:rPr>
      </w:pPr>
      <w:r>
        <w:rPr>
          <w:rFonts w:ascii="Times New Roman" w:hAnsi="Times New Roman"/>
          <w:color w:val="000000"/>
          <w:sz w:val="24"/>
        </w:rPr>
        <w:t xml:space="preserve">On April 21, 2026, the Company completed the sale of one 190 foot, DP-2 fast </w:t>
      </w:r>
      <w:r>
        <w:rPr>
          <w:rFonts w:ascii="Times New Roman" w:hAnsi="Times New Roman"/>
          <w:color w:val="222222"/>
          <w:sz w:val="24"/>
        </w:rPr>
        <w:t xml:space="preserve">support vessel </w:t>
      </w:r>
      <w:r>
        <w:rPr>
          <w:rFonts w:ascii="Times New Roman" w:hAnsi="Times New Roman"/>
          <w:color w:val="000000"/>
          <w:sz w:val="24"/>
        </w:rPr>
        <w:t>(“FSV”) built in 2010 for total proceeds of $7.9 million for a gain of approximately $6.9 million. Approximately $6.2 million of these sale proceeds were designated to make future payments on the construction of two PSVs and deposited in the Escrow Account.</w:t>
      </w:r>
    </w:p>
    <w:p>
      <w:pPr>
        <w:pStyle w:val="TextBody"/>
        <w:bidi w:val="0"/>
        <w:spacing w:before="200" w:after="283"/>
        <w:jc w:val="both"/>
        <w:rPr>
          <w:rFonts w:ascii="Times New Roman" w:hAnsi="Times New Roman"/>
          <w:color w:val="000000"/>
          <w:sz w:val="24"/>
        </w:rPr>
      </w:pPr>
      <w:r>
        <w:rPr>
          <w:rFonts w:ascii="Times New Roman" w:hAnsi="Times New Roman"/>
          <w:color w:val="000000"/>
          <w:sz w:val="24"/>
        </w:rPr>
        <w:t>On April 14, 2026, the Company completed the sale of one 201 foot, DP-2 PSV built in 2015 for total proceeds of $14.6 million for a gain of approximately $7.6 million. Approximately $11.4 million of these sale proceeds were designated to make future payments on the construction of two PSVs and deposited in the Escrow Account.</w:t>
      </w:r>
    </w:p>
    <w:p>
      <w:pPr>
        <w:pStyle w:val="TextBody"/>
        <w:bidi w:val="0"/>
        <w:spacing w:before="200" w:after="283"/>
        <w:jc w:val="both"/>
        <w:rPr>
          <w:rFonts w:ascii="Times New Roman" w:hAnsi="Times New Roman"/>
          <w:color w:val="000000"/>
          <w:sz w:val="24"/>
        </w:rPr>
      </w:pPr>
      <w:r>
        <w:rPr>
          <w:rFonts w:ascii="Times New Roman" w:hAnsi="Times New Roman"/>
          <w:color w:val="000000"/>
          <w:sz w:val="24"/>
        </w:rPr>
        <w:t>On February 24, 2026, the Company completed the sale of one 201 foot, DP-2 PSV built in 2015 for total proceeds of $14.6 million for a gain of approximately $7.3 million. Approximately $11.3 million of these sale proceeds were designated to make future payments on the construction of two PSVs and deposited in the Escrow Account.</w:t>
      </w:r>
    </w:p>
    <w:p>
      <w:pPr>
        <w:pStyle w:val="TextBody"/>
        <w:bidi w:val="0"/>
        <w:spacing w:before="200" w:after="283"/>
        <w:jc w:val="both"/>
        <w:rPr>
          <w:rFonts w:ascii="Times New Roman" w:hAnsi="Times New Roman"/>
          <w:color w:val="000000"/>
          <w:sz w:val="24"/>
        </w:rPr>
      </w:pPr>
      <w:r>
        <w:rPr>
          <w:rFonts w:ascii="Times New Roman" w:hAnsi="Times New Roman"/>
          <w:color w:val="000000"/>
          <w:sz w:val="24"/>
        </w:rPr>
        <w:t>On December 19, 2025, the Company completed the sale of one 201 foot, DP-2 PSV built in 2013 for total proceeds of $13.4 million for a gain of approximately $8.1 million. Approximately $11.0 million of these sale proceeds were designated to make future payments on the construction of two PSVs and deposited in the Escrow Account.</w:t>
      </w:r>
    </w:p>
    <w:p>
      <w:pPr>
        <w:pStyle w:val="TextBody"/>
        <w:bidi w:val="0"/>
        <w:spacing w:before="200" w:after="283"/>
        <w:jc w:val="both"/>
        <w:rPr>
          <w:rFonts w:ascii="Times New Roman" w:hAnsi="Times New Roman"/>
          <w:color w:val="000000"/>
          <w:sz w:val="24"/>
        </w:rPr>
      </w:pPr>
      <w:r>
        <w:rPr>
          <w:rFonts w:ascii="Times New Roman" w:hAnsi="Times New Roman"/>
          <w:color w:val="000000"/>
          <w:sz w:val="24"/>
        </w:rPr>
        <w:t>On September 29, 2025, the Company completed the sale of the United States (“U.S.”) flag liftboat LB Jill and the U.S. flag liftboat LB Robert (together, the “Liftboat Sales”) for total proceeds of $76.0 million. In addition, concurrently with the closing of the Liftboat Sales, the Company sold certain uninstalled vessel equipment for total proceeds of $1.0 million (the “Equipment Sale”). After deducting transaction costs and expenses, the Company received net cash proceeds of $74.7 million and recognized a gain of $30.5 million for the Liftboat Sales and the Equipment Sale. None of the sale proceeds from the Liftboat Sales and the Equipment Sale are encumbered by the Company’s 2024 SMFH Credit Facility or required to be used to repay such facility.</w:t>
      </w:r>
    </w:p>
    <w:p>
      <w:pPr>
        <w:pStyle w:val="TextBody"/>
        <w:bidi w:val="0"/>
        <w:jc w:val="center"/>
        <w:rPr/>
      </w:pPr>
      <w:r>
        <w:rPr/>
        <w:t> </w:t>
      </w:r>
    </w:p>
    <w:p>
      <w:pPr>
        <w:pStyle w:val="TextBody"/>
        <w:bidi w:val="0"/>
        <w:jc w:val="center"/>
        <w:rPr>
          <w:rFonts w:ascii="Times New Roman" w:hAnsi="Times New Roman"/>
          <w:color w:val="000000"/>
          <w:sz w:val="24"/>
        </w:rPr>
      </w:pPr>
      <w:r>
        <w:rPr>
          <w:rFonts w:ascii="Times New Roman" w:hAnsi="Times New Roman"/>
          <w:color w:val="000000"/>
          <w:sz w:val="24"/>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b/>
          <w:color w:val="000000"/>
          <w:sz w:val="24"/>
        </w:rPr>
        <w:t>Consolidated</w:t>
      </w:r>
      <w:r>
        <w:rPr>
          <w:rFonts w:ascii="Times New Roman" w:hAnsi="Times New Roman"/>
          <w:color w:val="000000"/>
          <w:sz w:val="20"/>
        </w:rPr>
        <w:t xml:space="preserve"> </w:t>
      </w:r>
      <w:r>
        <w:rPr>
          <w:rFonts w:ascii="Times New Roman" w:hAnsi="Times New Roman"/>
          <w:b/>
          <w:color w:val="000000"/>
          <w:sz w:val="24"/>
        </w:rPr>
        <w:t>Results of Operations</w:t>
      </w:r>
    </w:p>
    <w:p>
      <w:pPr>
        <w:pStyle w:val="TextBody"/>
        <w:bidi w:val="0"/>
        <w:spacing w:before="200" w:after="200"/>
        <w:jc w:val="both"/>
        <w:rPr>
          <w:rFonts w:ascii="Times New Roman" w:hAnsi="Times New Roman"/>
          <w:color w:val="000000"/>
          <w:sz w:val="24"/>
        </w:rPr>
      </w:pPr>
      <w:r>
        <w:rPr>
          <w:rFonts w:ascii="Times New Roman" w:hAnsi="Times New Roman"/>
          <w:color w:val="000000"/>
          <w:sz w:val="24"/>
        </w:rPr>
        <w:t>The sections below provide an analysis of the Company’s results of operations for the three and six months (“Current Year Quarter” and “Current Year Six Months”) ended June 30, 2026 compared with the three and six months (“Prior Year Quarter” and “Prior Year Six Months”) ended June 30, 2025. Except as otherwise noted, there have been no material changes since the end of the Company’s fiscal year ended December 31, 2025, in the Company’s results of operations. For the periods indicated, the Company’s consolidated results of operations were as follows (in thousands, except statistics):</w:t>
      </w:r>
    </w:p>
    <w:tbl>
      <w:tblPr>
        <w:tblW w:w="10998" w:type="dxa"/>
        <w:jc w:val="left"/>
        <w:tblInd w:w="0" w:type="dxa"/>
        <w:tblLayout w:type="fixed"/>
        <w:tblCellMar>
          <w:top w:w="28" w:type="dxa"/>
          <w:left w:w="28" w:type="dxa"/>
          <w:bottom w:w="28" w:type="dxa"/>
          <w:right w:w="28" w:type="dxa"/>
        </w:tblCellMar>
      </w:tblPr>
      <w:tblGrid>
        <w:gridCol w:w="1421"/>
        <w:gridCol w:w="546"/>
        <w:gridCol w:w="196"/>
        <w:gridCol w:w="601"/>
        <w:gridCol w:w="256"/>
        <w:gridCol w:w="146"/>
        <w:gridCol w:w="146"/>
        <w:gridCol w:w="376"/>
        <w:gridCol w:w="256"/>
        <w:gridCol w:w="146"/>
        <w:gridCol w:w="196"/>
        <w:gridCol w:w="661"/>
        <w:gridCol w:w="256"/>
        <w:gridCol w:w="146"/>
        <w:gridCol w:w="146"/>
        <w:gridCol w:w="376"/>
        <w:gridCol w:w="256"/>
        <w:gridCol w:w="146"/>
        <w:gridCol w:w="196"/>
        <w:gridCol w:w="691"/>
        <w:gridCol w:w="256"/>
        <w:gridCol w:w="146"/>
        <w:gridCol w:w="146"/>
        <w:gridCol w:w="376"/>
        <w:gridCol w:w="256"/>
        <w:gridCol w:w="146"/>
        <w:gridCol w:w="196"/>
        <w:gridCol w:w="691"/>
        <w:gridCol w:w="256"/>
        <w:gridCol w:w="146"/>
        <w:gridCol w:w="146"/>
        <w:gridCol w:w="376"/>
        <w:gridCol w:w="701"/>
      </w:tblGrid>
      <w:tr>
        <w:trPr/>
        <w:tc>
          <w:tcPr>
            <w:tcW w:w="1421"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r>
      <w:tr>
        <w:trPr/>
        <w:tc>
          <w:tcPr>
            <w:tcW w:w="14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04"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24"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7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7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Time Charter Statistics:</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4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Average Rates Per Day</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20,227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19,731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19,245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19,291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4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Fleet Utilization</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4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Fleet Available Days</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3,635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4,310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7,532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8,893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4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Revenues:</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4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Time charter</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49,697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57,673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91,654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109,606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94</w:t>
            </w:r>
          </w:p>
        </w:tc>
        <w:tc>
          <w:tcPr>
            <w:tcW w:w="7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14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Bareboat charter</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834</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838</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1,662</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1,546</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7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14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Other marine services</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4,099</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2,299</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5,596</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5,157</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w:t>
            </w:r>
          </w:p>
        </w:tc>
        <w:tc>
          <w:tcPr>
            <w:tcW w:w="7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42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54,630</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60,810</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98,912</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116,309</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w:t>
            </w:r>
          </w:p>
        </w:tc>
        <w:tc>
          <w:tcPr>
            <w:tcW w:w="7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4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Costs and Expenses:</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4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Operating:</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0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142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Personnel</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15,697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18,969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31,119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37,506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w:t>
            </w:r>
          </w:p>
        </w:tc>
        <w:tc>
          <w:tcPr>
            <w:tcW w:w="70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142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Repairs and maintenance</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12,648</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13,648</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23,248</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22,168</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w:t>
            </w:r>
          </w:p>
        </w:tc>
        <w:tc>
          <w:tcPr>
            <w:tcW w:w="70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142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Drydocking</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2,961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5,143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4,213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9,012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w:t>
            </w:r>
          </w:p>
        </w:tc>
        <w:tc>
          <w:tcPr>
            <w:tcW w:w="70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142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Insurance and loss reserves</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2,698</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2,982</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4,490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5,135</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w:t>
            </w:r>
          </w:p>
        </w:tc>
        <w:tc>
          <w:tcPr>
            <w:tcW w:w="70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142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Fuel, lubes and supplies</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5,302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4,296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8,610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8,842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w:t>
            </w:r>
          </w:p>
        </w:tc>
        <w:tc>
          <w:tcPr>
            <w:tcW w:w="70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142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Other</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7,378</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4,455</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12,577</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8,758</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w:t>
            </w:r>
          </w:p>
        </w:tc>
        <w:tc>
          <w:tcPr>
            <w:tcW w:w="7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46,684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49,493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84,257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91,421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w:t>
            </w:r>
          </w:p>
        </w:tc>
        <w:tc>
          <w:tcPr>
            <w:tcW w:w="7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142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Lease expense - operating</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266</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325</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516</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662</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7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14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Administrative and general</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12,343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11,998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22,297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23,484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w:t>
            </w:r>
          </w:p>
        </w:tc>
        <w:tc>
          <w:tcPr>
            <w:tcW w:w="7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142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Depreciation and amortization</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10,718</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12,090</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21,048</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24,900</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w:t>
            </w:r>
          </w:p>
        </w:tc>
        <w:tc>
          <w:tcPr>
            <w:tcW w:w="7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70,011</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73,906</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128,118</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140,467</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121</w:t>
            </w:r>
          </w:p>
        </w:tc>
        <w:tc>
          <w:tcPr>
            <w:tcW w:w="7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4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Gains on Asset Dispositions and Impairments, Net</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31,347</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19,163</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38,795</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24,972</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w:t>
            </w:r>
          </w:p>
        </w:tc>
        <w:tc>
          <w:tcPr>
            <w:tcW w:w="7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4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Income</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15,966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6,067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9,589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7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4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Expense, Net</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(8,778</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(10,504</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(16,048</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(20,725</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w:t>
            </w:r>
          </w:p>
        </w:tc>
        <w:tc>
          <w:tcPr>
            <w:tcW w:w="7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4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Income (Loss) Before Income Tax Expense and Equity in Earnings of 50% or Less Owned Companies</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7,188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(4,437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(6,459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(19,911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w:t>
            </w:r>
          </w:p>
        </w:tc>
        <w:tc>
          <w:tcPr>
            <w:tcW w:w="7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4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Income Tax Expense</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3,951</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2,508</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6,159</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3,412</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7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4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Income (Loss) Before Equity in Earnings of 50% or Less Owned Companies</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3,237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(6,945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(12,618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(23,323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w:t>
            </w:r>
          </w:p>
        </w:tc>
        <w:tc>
          <w:tcPr>
            <w:tcW w:w="7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4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Equity in Earnings of 50% or Less Owned Companies</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218</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106</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1,107</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7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4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Income (Loss)</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3,293</w:t>
            </w:r>
          </w:p>
        </w:tc>
        <w:tc>
          <w:tcPr>
            <w:tcW w:w="25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(6,727</w:t>
            </w:r>
          </w:p>
        </w:tc>
        <w:tc>
          <w:tcPr>
            <w:tcW w:w="25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(12,512</w:t>
            </w:r>
          </w:p>
        </w:tc>
        <w:tc>
          <w:tcPr>
            <w:tcW w:w="25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(22,216</w:t>
            </w:r>
          </w:p>
        </w:tc>
        <w:tc>
          <w:tcPr>
            <w:tcW w:w="25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w:t>
            </w:r>
          </w:p>
        </w:tc>
        <w:tc>
          <w:tcPr>
            <w:tcW w:w="7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spacing w:before="200" w:after="283"/>
        <w:jc w:val="both"/>
        <w:rPr>
          <w:rFonts w:ascii="Times New Roman" w:hAnsi="Times New Roman"/>
          <w:sz w:val="20"/>
        </w:rPr>
      </w:pPr>
      <w:r>
        <w:rPr>
          <w:rFonts w:ascii="Times New Roman" w:hAnsi="Times New Roman"/>
          <w:b/>
          <w:i/>
          <w:color w:val="000000"/>
          <w:sz w:val="24"/>
        </w:rPr>
        <w:t xml:space="preserve">Direct Vessel Profit. </w:t>
      </w:r>
      <w:r>
        <w:rPr>
          <w:rFonts w:ascii="Times New Roman" w:hAnsi="Times New Roman"/>
          <w:color w:val="000000"/>
          <w:sz w:val="24"/>
        </w:rPr>
        <w:t>Direct vessel profit (defined as operating revenues less operating expenses excluding leased-in equipment, “DVP”) is the Company’s measure of segment profitability. DVP is a critical financial measure used by the Company to analyze and compare the operating performance of its regions, without regard to financing decisions (depreciation and interest expense for owned vessels vs. lease expense for leased-in vessels). See “Note 11. Segment Information” in the unaudited consolidated financial statements included in Part I. Item 1. “Financial Statements” elsewhere in this Quarterly Report on Form 10-Q.</w:t>
      </w:r>
    </w:p>
    <w:p>
      <w:pPr>
        <w:pStyle w:val="TextBody"/>
        <w:bidi w:val="0"/>
        <w:jc w:val="center"/>
        <w:rPr/>
      </w:pPr>
      <w:r>
        <w:rPr/>
        <w:t> </w:t>
      </w:r>
    </w:p>
    <w:p>
      <w:pPr>
        <w:pStyle w:val="TextBody"/>
        <w:bidi w:val="0"/>
        <w:jc w:val="center"/>
        <w:rPr>
          <w:rFonts w:ascii="Times New Roman" w:hAnsi="Times New Roman"/>
          <w:color w:val="000000"/>
          <w:sz w:val="24"/>
        </w:rPr>
      </w:pPr>
      <w:r>
        <w:rPr>
          <w:rFonts w:ascii="Times New Roman" w:hAnsi="Times New Roman"/>
          <w:color w:val="000000"/>
          <w:sz w:val="24"/>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00"/>
        <w:jc w:val="both"/>
        <w:rPr>
          <w:rFonts w:ascii="Times New Roman" w:hAnsi="Times New Roman"/>
          <w:color w:val="000000"/>
          <w:sz w:val="24"/>
        </w:rPr>
      </w:pPr>
      <w:r>
        <w:rPr>
          <w:rFonts w:ascii="Times New Roman" w:hAnsi="Times New Roman"/>
          <w:color w:val="000000"/>
          <w:sz w:val="24"/>
        </w:rPr>
        <w:t>The following tables summarize the operating results and property and equipment for the Company’s reportable segments for the periods indicated (in thousands, except statistics):</w:t>
      </w:r>
    </w:p>
    <w:tbl>
      <w:tblPr>
        <w:tblW w:w="9148" w:type="dxa"/>
        <w:jc w:val="left"/>
        <w:tblInd w:w="0" w:type="dxa"/>
        <w:tblLayout w:type="fixed"/>
        <w:tblCellMar>
          <w:top w:w="28" w:type="dxa"/>
          <w:left w:w="28" w:type="dxa"/>
          <w:bottom w:w="28" w:type="dxa"/>
          <w:right w:w="28" w:type="dxa"/>
        </w:tblCellMar>
      </w:tblPr>
      <w:tblGrid>
        <w:gridCol w:w="3571"/>
        <w:gridCol w:w="146"/>
        <w:gridCol w:w="250"/>
        <w:gridCol w:w="770"/>
        <w:gridCol w:w="256"/>
        <w:gridCol w:w="146"/>
        <w:gridCol w:w="251"/>
        <w:gridCol w:w="769"/>
        <w:gridCol w:w="256"/>
        <w:gridCol w:w="146"/>
        <w:gridCol w:w="196"/>
        <w:gridCol w:w="601"/>
        <w:gridCol w:w="256"/>
        <w:gridCol w:w="146"/>
        <w:gridCol w:w="196"/>
        <w:gridCol w:w="601"/>
        <w:gridCol w:w="591"/>
      </w:tblGrid>
      <w:tr>
        <w:trPr/>
        <w:tc>
          <w:tcPr>
            <w:tcW w:w="3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5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8"/>
              </w:rPr>
            </w:pPr>
            <w:r>
              <w:rPr>
                <w:rFonts w:ascii="Times New Roman" w:hAnsi="Times New Roman"/>
                <w:b/>
                <w:color w:val="000000"/>
                <w:sz w:val="18"/>
              </w:rPr>
              <w:t xml:space="preserve">Americas </w:t>
            </w:r>
            <w:r>
              <w:rPr>
                <w:rFonts w:ascii="Times New Roman" w:hAnsi="Times New Roman"/>
                <w:b/>
                <w:color w:val="000000"/>
                <w:sz w:val="12"/>
              </w:rPr>
              <w:t>(1)</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Africa</w:t>
              <w:br/>
              <w:t>and Europe</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Middle</w:t>
              <w:br/>
              <w:t>East</w:t>
              <w:br/>
              <w:t>and Asia</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For the Three Months Ended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5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Time Charter Statistics: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5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Average Rates Per Day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28,394</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18,877</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15,588</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20,227</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Fleet Utilization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35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Fleet Available Days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935</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1,741</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959</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3,635</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5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Time charter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15,518</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25,248</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8,931</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49,697</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Bareboat charter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834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834</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Other marine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1,353</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1,041</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1,705</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4,099</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5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17,705</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26,289</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10,636</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54,630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Direct Costs and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5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Operating: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357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Personnel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5,322</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5,523</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4,852</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15,697</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57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Repairs and maintenance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2,252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5,673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4,723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12,648</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57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Drydocking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554</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1,727</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2,961</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57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Insurance and loss reserves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1,407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2,698</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57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Fuel, lubes and supplies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1,494</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2,416</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1,392</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5,302</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57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3,271</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3,154</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953</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7,378</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13,806</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17,824</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15,054</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46,684</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5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Direct Vessel Profit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3,899</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8,465</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(4,418</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7,946</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Costs and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5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Lease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266</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Administrative and general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12,343</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3,168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4,485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3,065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10,718</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57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23,327</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5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Gains on asset dispositions and impairments,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31,347</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15,966</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pBdr>
          <w:bottom w:val="single" w:sz="4" w:space="1" w:color="000000"/>
        </w:pBdr>
        <w:bidi w:val="0"/>
        <w:jc w:val="both"/>
        <w:rPr/>
      </w:pPr>
      <w:r>
        <w:rPr/>
        <w:t> </w:t>
      </w:r>
    </w:p>
    <w:p>
      <w:pPr>
        <w:pStyle w:val="TextBody"/>
        <w:bidi w:val="0"/>
        <w:spacing w:before="40" w:after="200"/>
        <w:jc w:val="both"/>
        <w:rPr>
          <w:rFonts w:ascii="Times New Roman" w:hAnsi="Times New Roman"/>
          <w:color w:val="000000"/>
          <w:sz w:val="16"/>
        </w:rPr>
      </w:pPr>
      <w:r>
        <w:rPr>
          <w:rFonts w:ascii="Times New Roman" w:hAnsi="Times New Roman"/>
          <w:color w:val="000000"/>
          <w:sz w:val="16"/>
        </w:rPr>
        <w:t>(1)</w:t>
      </w:r>
    </w:p>
    <w:p>
      <w:pPr>
        <w:pStyle w:val="TextBody"/>
        <w:bidi w:val="0"/>
        <w:spacing w:before="40" w:after="200"/>
        <w:jc w:val="both"/>
        <w:rPr>
          <w:rFonts w:ascii="Times New Roman" w:hAnsi="Times New Roman"/>
          <w:color w:val="000000"/>
          <w:sz w:val="16"/>
        </w:rPr>
      </w:pPr>
      <w:r>
        <w:rPr>
          <w:rFonts w:ascii="Times New Roman" w:hAnsi="Times New Roman"/>
          <w:color w:val="000000"/>
          <w:sz w:val="16"/>
        </w:rPr>
        <w:t>In prior periods the United States and Latin America were reported as separate segments. Due to the reduction of the United States operating segment, the Company’s United States operations are no longer analyzed by the chief operating decision maker on a standalone basis but rather as part of the Americas segment. As a result, for purposes of segment reporting United States operations are now consolidated with Latin America operations and reported as a consolidated segment, and prior period information has been conformed to the new consolidated reporting segment.</w:t>
      </w:r>
    </w:p>
    <w:p>
      <w:pPr>
        <w:pStyle w:val="TextBody"/>
        <w:bidi w:val="0"/>
        <w:jc w:val="center"/>
        <w:rPr/>
      </w:pPr>
      <w:r>
        <w:rPr/>
        <w:t> </w:t>
      </w:r>
    </w:p>
    <w:p>
      <w:pPr>
        <w:pStyle w:val="TextBody"/>
        <w:bidi w:val="0"/>
        <w:jc w:val="center"/>
        <w:rPr>
          <w:rFonts w:ascii="Times New Roman" w:hAnsi="Times New Roman"/>
          <w:color w:val="000000"/>
          <w:sz w:val="24"/>
        </w:rPr>
      </w:pPr>
      <w:r>
        <w:rPr>
          <w:rFonts w:ascii="Times New Roman" w:hAnsi="Times New Roman"/>
          <w:color w:val="000000"/>
          <w:sz w:val="24"/>
        </w:rPr>
        <w:t>26</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9448" w:type="dxa"/>
        <w:jc w:val="left"/>
        <w:tblInd w:w="0" w:type="dxa"/>
        <w:tblLayout w:type="fixed"/>
        <w:tblCellMar>
          <w:top w:w="28" w:type="dxa"/>
          <w:left w:w="28" w:type="dxa"/>
          <w:bottom w:w="28" w:type="dxa"/>
          <w:right w:w="28" w:type="dxa"/>
        </w:tblCellMar>
      </w:tblPr>
      <w:tblGrid>
        <w:gridCol w:w="3571"/>
        <w:gridCol w:w="146"/>
        <w:gridCol w:w="225"/>
        <w:gridCol w:w="795"/>
        <w:gridCol w:w="256"/>
        <w:gridCol w:w="146"/>
        <w:gridCol w:w="211"/>
        <w:gridCol w:w="809"/>
        <w:gridCol w:w="256"/>
        <w:gridCol w:w="146"/>
        <w:gridCol w:w="196"/>
        <w:gridCol w:w="751"/>
        <w:gridCol w:w="256"/>
        <w:gridCol w:w="146"/>
        <w:gridCol w:w="196"/>
        <w:gridCol w:w="751"/>
        <w:gridCol w:w="591"/>
      </w:tblGrid>
      <w:tr>
        <w:trPr/>
        <w:tc>
          <w:tcPr>
            <w:tcW w:w="3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5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8"/>
              </w:rPr>
            </w:pPr>
            <w:r>
              <w:rPr>
                <w:rFonts w:ascii="Times New Roman" w:hAnsi="Times New Roman"/>
                <w:b/>
                <w:color w:val="000000"/>
                <w:sz w:val="18"/>
              </w:rPr>
              <w:t xml:space="preserve">Americas </w:t>
            </w:r>
            <w:r>
              <w:rPr>
                <w:rFonts w:ascii="Times New Roman" w:hAnsi="Times New Roman"/>
                <w:b/>
                <w:color w:val="000000"/>
                <w:sz w:val="12"/>
              </w:rPr>
              <w:t>(2)</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Africa</w:t>
              <w:br/>
              <w:t>and Europe</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Middle</w:t>
              <w:br/>
              <w:t>East</w:t>
              <w:br/>
              <w:t>and Asia</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For the Six Months Ended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5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Time Charter Statistics: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5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Average Rates Per Day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24,728</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18,798</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15,490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19,245</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Fleet Utilization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35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Fleet Available Days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2,304</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3,279</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1,949</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7,532</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5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Time charter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25,361</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47,782</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18,511</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91,654</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Bareboat charter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1,662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1,662</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Other marine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1,635</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1,618</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2,343</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5,596</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5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28,658</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49,400</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20,854</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98,912</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Direct Costs and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5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Operating: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357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Personnel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11,329</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10,505</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9,285</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31,119</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57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Repairs and maintenance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3,896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8,630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10,722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23,248</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57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Drydocking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1,120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2,363</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4,213</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57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Insurance and loss reserves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1,210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834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2,446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4,490</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57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Fuel, lubes and supplies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2,569</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3,750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2,291</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8,610</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57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4,655</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6,346</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1,576</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12,577</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24,779</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30,795</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28,683</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84,257</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5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Direct Vessel Profit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3,879</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18,605</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(7,829</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14,655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Costs and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5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Lease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0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516</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Administrative and general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22,297</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6,334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8,548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6,166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21,048</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57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43,861</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5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Gains on asset dispositions and impairments,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38,795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9,589</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5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As of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5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Historical cost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187,845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322,783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243,741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754,369</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Accumulated depreciation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(91,051</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(142,164</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(118,625</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(351,840</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5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96,794</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180,619</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125,116</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402,529</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Total Assets </w:t>
            </w:r>
            <w:r>
              <w:rPr>
                <w:rFonts w:ascii="Times New Roman" w:hAnsi="Times New Roman"/>
                <w:color w:val="000000"/>
                <w:sz w:val="12"/>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120,274</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224,039</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198,329</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542,642</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pBdr>
          <w:bottom w:val="single" w:sz="4" w:space="1" w:color="000000"/>
        </w:pBdr>
        <w:bidi w:val="0"/>
        <w:jc w:val="both"/>
        <w:rPr/>
      </w:pPr>
      <w:r>
        <w:rPr/>
        <w:t> </w:t>
      </w:r>
    </w:p>
    <w:p>
      <w:pPr>
        <w:pStyle w:val="TextBody"/>
        <w:bidi w:val="0"/>
        <w:spacing w:before="40" w:after="283"/>
        <w:jc w:val="both"/>
        <w:rPr>
          <w:rFonts w:ascii="Times New Roman" w:hAnsi="Times New Roman"/>
          <w:color w:val="000000"/>
          <w:sz w:val="16"/>
        </w:rPr>
      </w:pPr>
      <w:r>
        <w:rPr>
          <w:rFonts w:ascii="Times New Roman" w:hAnsi="Times New Roman"/>
          <w:color w:val="000000"/>
          <w:sz w:val="16"/>
        </w:rPr>
        <w:t>(1)</w:t>
      </w:r>
    </w:p>
    <w:p>
      <w:pPr>
        <w:pStyle w:val="TextBody"/>
        <w:bidi w:val="0"/>
        <w:spacing w:before="40" w:after="283"/>
        <w:jc w:val="both"/>
        <w:rPr/>
      </w:pPr>
      <w:r>
        <w:rPr>
          <w:rFonts w:ascii="Times New Roman" w:hAnsi="Times New Roman"/>
          <w:color w:val="000000"/>
          <w:sz w:val="16"/>
        </w:rPr>
        <w:t>Total Assets by region does not include corporate assets of $90.7 million as of June 30, 2026</w:t>
      </w:r>
      <w:r>
        <w:rPr>
          <w:rFonts w:ascii="Times New Roman" w:hAnsi="Times New Roman"/>
          <w:color w:val="000000"/>
          <w:sz w:val="20"/>
        </w:rPr>
        <w:t>.</w:t>
      </w:r>
    </w:p>
    <w:p>
      <w:pPr>
        <w:pStyle w:val="TextBody"/>
        <w:bidi w:val="0"/>
        <w:spacing w:before="40" w:after="200"/>
        <w:jc w:val="both"/>
        <w:rPr>
          <w:rFonts w:ascii="Times New Roman" w:hAnsi="Times New Roman"/>
          <w:color w:val="000000"/>
          <w:sz w:val="16"/>
        </w:rPr>
      </w:pPr>
      <w:r>
        <w:rPr>
          <w:rFonts w:ascii="Times New Roman" w:hAnsi="Times New Roman"/>
          <w:color w:val="000000"/>
          <w:sz w:val="16"/>
        </w:rPr>
        <w:t>(2)</w:t>
      </w:r>
    </w:p>
    <w:p>
      <w:pPr>
        <w:pStyle w:val="TextBody"/>
        <w:bidi w:val="0"/>
        <w:spacing w:before="40" w:after="200"/>
        <w:jc w:val="both"/>
        <w:rPr>
          <w:rFonts w:ascii="Times New Roman" w:hAnsi="Times New Roman"/>
          <w:color w:val="000000"/>
          <w:sz w:val="16"/>
        </w:rPr>
      </w:pPr>
      <w:r>
        <w:rPr>
          <w:rFonts w:ascii="Times New Roman" w:hAnsi="Times New Roman"/>
          <w:color w:val="000000"/>
          <w:sz w:val="16"/>
        </w:rPr>
        <w:t>In prior periods the United States and Latin America were reported as separate segments. Due to the reduction of the United States operating segment, the Company’s United States operations are no longer analyzed by the chief operating decision maker on a standalone basis but rather as part of the Americas segment. As a result, for purposes of segment reporting United States operations are now consolidated with Latin America operations and reported as a consolidated segment, and prior period information has been conformed to the new consolidated reporting segment.</w:t>
      </w:r>
    </w:p>
    <w:p>
      <w:pPr>
        <w:pStyle w:val="TextBody"/>
        <w:bidi w:val="0"/>
        <w:jc w:val="center"/>
        <w:rPr/>
      </w:pPr>
      <w:r>
        <w:rPr/>
        <w:t> </w:t>
      </w:r>
    </w:p>
    <w:p>
      <w:pPr>
        <w:pStyle w:val="TextBody"/>
        <w:bidi w:val="0"/>
        <w:jc w:val="center"/>
        <w:rPr>
          <w:rFonts w:ascii="Times New Roman" w:hAnsi="Times New Roman"/>
          <w:color w:val="000000"/>
          <w:sz w:val="24"/>
        </w:rPr>
      </w:pPr>
      <w:r>
        <w:rPr>
          <w:rFonts w:ascii="Times New Roman" w:hAnsi="Times New Roman"/>
          <w:color w:val="000000"/>
          <w:sz w:val="24"/>
        </w:rPr>
        <w:t>27</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9148" w:type="dxa"/>
        <w:jc w:val="left"/>
        <w:tblInd w:w="0" w:type="dxa"/>
        <w:tblLayout w:type="fixed"/>
        <w:tblCellMar>
          <w:top w:w="28" w:type="dxa"/>
          <w:left w:w="28" w:type="dxa"/>
          <w:bottom w:w="28" w:type="dxa"/>
          <w:right w:w="28" w:type="dxa"/>
        </w:tblCellMar>
      </w:tblPr>
      <w:tblGrid>
        <w:gridCol w:w="3571"/>
        <w:gridCol w:w="146"/>
        <w:gridCol w:w="250"/>
        <w:gridCol w:w="770"/>
        <w:gridCol w:w="256"/>
        <w:gridCol w:w="146"/>
        <w:gridCol w:w="251"/>
        <w:gridCol w:w="769"/>
        <w:gridCol w:w="256"/>
        <w:gridCol w:w="146"/>
        <w:gridCol w:w="196"/>
        <w:gridCol w:w="601"/>
        <w:gridCol w:w="256"/>
        <w:gridCol w:w="146"/>
        <w:gridCol w:w="196"/>
        <w:gridCol w:w="601"/>
        <w:gridCol w:w="591"/>
      </w:tblGrid>
      <w:tr>
        <w:trPr/>
        <w:tc>
          <w:tcPr>
            <w:tcW w:w="3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5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8"/>
              </w:rPr>
            </w:pPr>
            <w:r>
              <w:rPr>
                <w:rFonts w:ascii="Times New Roman" w:hAnsi="Times New Roman"/>
                <w:b/>
                <w:color w:val="000000"/>
                <w:sz w:val="18"/>
              </w:rPr>
              <w:t xml:space="preserve">Americas </w:t>
            </w:r>
            <w:r>
              <w:rPr>
                <w:rFonts w:ascii="Times New Roman" w:hAnsi="Times New Roman"/>
                <w:b/>
                <w:color w:val="000000"/>
                <w:sz w:val="12"/>
              </w:rPr>
              <w:t>(1)</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Africa</w:t>
              <w:br/>
              <w:t>and Europe</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Middle</w:t>
              <w:br/>
              <w:t>East</w:t>
              <w:br/>
              <w:t>and Asia</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For the Three Months Ended June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5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Time Charter Statistics: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5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Average Rates Per Day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24,622</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19,140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15,506</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19,731</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Fleet Utilization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35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Fleet Available Days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1,553</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1,668</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1,089</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4,310</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5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Time charter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20,773</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24,535</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12,365</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57,673</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Bareboat charter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838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838</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Other marine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1,061</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806</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432</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2,299</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5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22,672</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25,341</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12,797</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60,810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Direct Costs and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2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5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Operating: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357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Personnel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8,943</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5,515</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4,511</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18,969</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57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Repairs and maintenance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2,664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4,646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6,338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13,648</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57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Drydocking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4,229</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901</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5,143</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57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Insurance and loss reserves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1,241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899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842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2,982</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57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Fuel, lubes and supplies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1,303</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1,714</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1,279</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4,296</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57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994</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2,357</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1,104</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4,455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19,374</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16,032</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14,087</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49,493</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5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Direct Vessel Profit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3,298</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9,309</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(1,290</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11,317</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Costs and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2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5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Lease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325</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Administrative and general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2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11,998</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4,600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4,263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3,227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12,090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5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2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24,413</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5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Gains on asset dispositions and impairments,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19,163</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2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6,067</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pBdr>
          <w:bottom w:val="single" w:sz="4" w:space="1" w:color="000000"/>
        </w:pBdr>
        <w:bidi w:val="0"/>
        <w:jc w:val="both"/>
        <w:rPr/>
      </w:pPr>
      <w:r>
        <w:rPr/>
        <w:t> </w:t>
      </w:r>
    </w:p>
    <w:p>
      <w:pPr>
        <w:pStyle w:val="TextBody"/>
        <w:bidi w:val="0"/>
        <w:spacing w:before="40" w:after="200"/>
        <w:jc w:val="both"/>
        <w:rPr>
          <w:rFonts w:ascii="Times New Roman" w:hAnsi="Times New Roman"/>
          <w:color w:val="000000"/>
          <w:sz w:val="16"/>
        </w:rPr>
      </w:pPr>
      <w:r>
        <w:rPr>
          <w:rFonts w:ascii="Times New Roman" w:hAnsi="Times New Roman"/>
          <w:color w:val="000000"/>
          <w:sz w:val="16"/>
        </w:rPr>
        <w:t>(1)</w:t>
      </w:r>
    </w:p>
    <w:p>
      <w:pPr>
        <w:pStyle w:val="TextBody"/>
        <w:bidi w:val="0"/>
        <w:spacing w:before="40" w:after="200"/>
        <w:jc w:val="both"/>
        <w:rPr>
          <w:rFonts w:ascii="Times New Roman" w:hAnsi="Times New Roman"/>
          <w:color w:val="000000"/>
          <w:sz w:val="16"/>
        </w:rPr>
      </w:pPr>
      <w:r>
        <w:rPr>
          <w:rFonts w:ascii="Times New Roman" w:hAnsi="Times New Roman"/>
          <w:color w:val="000000"/>
          <w:sz w:val="16"/>
        </w:rPr>
        <w:t>In prior periods the United States and Latin America were reported as separate segments. Due to the reduction of the United States operating segment, the Company’s United States operations are no longer analyzed by the chief operating decision maker on a standalone basis but rather as part of the Americas segment. As a result, for purposes of segment reporting United States operations are now consolidated with Latin America operations and reported as a consolidated segment, and prior period information has been conformed to the new consolidated reporting segment.</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4"/>
        </w:rPr>
      </w:pPr>
      <w:r>
        <w:rPr>
          <w:rFonts w:ascii="Times New Roman" w:hAnsi="Times New Roman"/>
          <w:color w:val="000000"/>
          <w:sz w:val="24"/>
        </w:rPr>
        <w:t>28</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9448" w:type="dxa"/>
        <w:jc w:val="left"/>
        <w:tblInd w:w="0" w:type="dxa"/>
        <w:tblLayout w:type="fixed"/>
        <w:tblCellMar>
          <w:top w:w="28" w:type="dxa"/>
          <w:left w:w="28" w:type="dxa"/>
          <w:bottom w:w="28" w:type="dxa"/>
          <w:right w:w="28" w:type="dxa"/>
        </w:tblCellMar>
      </w:tblPr>
      <w:tblGrid>
        <w:gridCol w:w="3571"/>
        <w:gridCol w:w="146"/>
        <w:gridCol w:w="211"/>
        <w:gridCol w:w="809"/>
        <w:gridCol w:w="256"/>
        <w:gridCol w:w="146"/>
        <w:gridCol w:w="211"/>
        <w:gridCol w:w="809"/>
        <w:gridCol w:w="256"/>
        <w:gridCol w:w="146"/>
        <w:gridCol w:w="196"/>
        <w:gridCol w:w="751"/>
        <w:gridCol w:w="256"/>
        <w:gridCol w:w="146"/>
        <w:gridCol w:w="196"/>
        <w:gridCol w:w="751"/>
        <w:gridCol w:w="591"/>
      </w:tblGrid>
      <w:tr>
        <w:trPr/>
        <w:tc>
          <w:tcPr>
            <w:tcW w:w="3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5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8"/>
              </w:rPr>
            </w:pPr>
            <w:r>
              <w:rPr>
                <w:rFonts w:ascii="Times New Roman" w:hAnsi="Times New Roman"/>
                <w:b/>
                <w:color w:val="000000"/>
                <w:sz w:val="18"/>
              </w:rPr>
              <w:t xml:space="preserve">Americas </w:t>
            </w:r>
            <w:r>
              <w:rPr>
                <w:rFonts w:ascii="Times New Roman" w:hAnsi="Times New Roman"/>
                <w:b/>
                <w:color w:val="000000"/>
                <w:sz w:val="12"/>
              </w:rPr>
              <w:t>(2)</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Africa</w:t>
              <w:br/>
              <w:t>and Europe</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Middle</w:t>
              <w:br/>
              <w:t>East</w:t>
              <w:br/>
              <w:t>and Asia</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For the Six Months Ended June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5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Time Charter Statistics: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5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Average Rates Per Day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23,829</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18,246</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16,735</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19,291</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Fleet Utilization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35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Fleet Available Days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3,256</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3,378</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2,259</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8,893</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5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Time charter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36,161</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45,370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28,075</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109,606</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Bareboat charter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1,546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1,546</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Other marine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2,775</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1,658</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724</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5,157</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5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40,482</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47,028</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28,799</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116,309</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Direct Costs and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2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5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Operating: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357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Personnel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17,370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10,698</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9,438</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37,506</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57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Repairs and maintenance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5,217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8,108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8,843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22,168</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57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Drydocking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5,826</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2,142</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1,044</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9,012</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57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Insurance and loss reserves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2,098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1,493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1,544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5,135</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57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Fuel, lubes and supplies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2,786</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3,894</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2,162</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8,842</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57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1,689</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5,084</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1,985</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8,758</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34,986</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31,419</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25,016</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91,421</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5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Direct Vessel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5,496</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15,609</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3,783</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24,888</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Costs and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2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5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Lease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662</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Administrative and general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2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23,484</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9,778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8,665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6,457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24,900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5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2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49,046</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5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Gains on asset dispositions and impairments,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24,972</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2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814</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5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As of June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5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2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5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Historical cost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320,379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315,018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252,011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887,408</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Accumulated depreciation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(145,095</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(122,999</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(109,171</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(377,265</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35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175,284</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192,019</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142,840</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510,143</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Total Assets </w:t>
            </w:r>
            <w:r>
              <w:rPr>
                <w:rFonts w:ascii="Times New Roman" w:hAnsi="Times New Roman"/>
                <w:color w:val="000000"/>
                <w:sz w:val="12"/>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209,413</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229,966</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191,228</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630,607</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pBdr>
          <w:bottom w:val="single" w:sz="4" w:space="1" w:color="000000"/>
        </w:pBdr>
        <w:bidi w:val="0"/>
        <w:jc w:val="both"/>
        <w:rPr/>
      </w:pPr>
      <w:r>
        <w:rPr/>
        <w:t> </w:t>
      </w:r>
    </w:p>
    <w:p>
      <w:pPr>
        <w:pStyle w:val="TextBody"/>
        <w:bidi w:val="0"/>
        <w:spacing w:before="40" w:after="283"/>
        <w:jc w:val="both"/>
        <w:rPr>
          <w:rFonts w:ascii="Times New Roman" w:hAnsi="Times New Roman"/>
          <w:color w:val="000000"/>
          <w:sz w:val="18"/>
        </w:rPr>
      </w:pPr>
      <w:r>
        <w:rPr>
          <w:rFonts w:ascii="Times New Roman" w:hAnsi="Times New Roman"/>
          <w:color w:val="000000"/>
          <w:sz w:val="18"/>
        </w:rPr>
        <w:t>(1)</w:t>
      </w:r>
    </w:p>
    <w:p>
      <w:pPr>
        <w:pStyle w:val="TextBody"/>
        <w:bidi w:val="0"/>
        <w:spacing w:before="40" w:after="283"/>
        <w:jc w:val="both"/>
        <w:rPr/>
      </w:pPr>
      <w:r>
        <w:rPr>
          <w:rFonts w:ascii="Times New Roman" w:hAnsi="Times New Roman"/>
          <w:color w:val="000000"/>
          <w:sz w:val="16"/>
        </w:rPr>
        <w:t>Total Assets by region does not include corporate assets of $49.4 million as of June 30, 2025</w:t>
      </w:r>
      <w:r>
        <w:rPr>
          <w:rFonts w:ascii="Times New Roman" w:hAnsi="Times New Roman"/>
          <w:color w:val="000000"/>
          <w:sz w:val="20"/>
        </w:rPr>
        <w:t>.</w:t>
      </w:r>
    </w:p>
    <w:p>
      <w:pPr>
        <w:pStyle w:val="TextBody"/>
        <w:bidi w:val="0"/>
        <w:spacing w:before="40" w:after="200"/>
        <w:jc w:val="both"/>
        <w:rPr>
          <w:rFonts w:ascii="Times New Roman" w:hAnsi="Times New Roman"/>
          <w:color w:val="000000"/>
          <w:sz w:val="18"/>
        </w:rPr>
      </w:pPr>
      <w:r>
        <w:rPr>
          <w:rFonts w:ascii="Times New Roman" w:hAnsi="Times New Roman"/>
          <w:color w:val="000000"/>
          <w:sz w:val="18"/>
        </w:rPr>
        <w:t>(2)</w:t>
      </w:r>
    </w:p>
    <w:p>
      <w:pPr>
        <w:pStyle w:val="TextBody"/>
        <w:bidi w:val="0"/>
        <w:spacing w:before="40" w:after="200"/>
        <w:jc w:val="both"/>
        <w:rPr>
          <w:rFonts w:ascii="Times New Roman" w:hAnsi="Times New Roman"/>
          <w:color w:val="000000"/>
          <w:sz w:val="16"/>
        </w:rPr>
      </w:pPr>
      <w:r>
        <w:rPr>
          <w:rFonts w:ascii="Times New Roman" w:hAnsi="Times New Roman"/>
          <w:color w:val="000000"/>
          <w:sz w:val="16"/>
        </w:rPr>
        <w:t>In prior periods the United States and Latin America were reported as separate segments. Due to the reduction of the United States operating segment, the Company’s United States operations are no longer analyzed by the chief operating decision maker on a standalone basis but rather as part of the Americas segment. As a result, for purposes of segment reporting United States operations are now consolidated with Latin America operations and reported as a consolidated segment, and prior period information has been conformed to the new consolidated reporting segment.</w:t>
      </w:r>
    </w:p>
    <w:p>
      <w:pPr>
        <w:pStyle w:val="TextBody"/>
        <w:bidi w:val="0"/>
        <w:jc w:val="center"/>
        <w:rPr/>
      </w:pPr>
      <w:r>
        <w:rPr/>
        <w:t> </w:t>
      </w:r>
    </w:p>
    <w:p>
      <w:pPr>
        <w:pStyle w:val="TextBody"/>
        <w:bidi w:val="0"/>
        <w:jc w:val="center"/>
        <w:rPr>
          <w:rFonts w:ascii="Times New Roman" w:hAnsi="Times New Roman"/>
          <w:color w:val="000000"/>
          <w:sz w:val="24"/>
        </w:rPr>
      </w:pPr>
      <w:r>
        <w:rPr>
          <w:rFonts w:ascii="Times New Roman" w:hAnsi="Times New Roman"/>
          <w:color w:val="000000"/>
          <w:sz w:val="24"/>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00"/>
        <w:jc w:val="both"/>
        <w:rPr>
          <w:rFonts w:ascii="Times New Roman" w:hAnsi="Times New Roman"/>
          <w:color w:val="000000"/>
          <w:sz w:val="24"/>
        </w:rPr>
      </w:pPr>
      <w:r>
        <w:rPr>
          <w:rFonts w:ascii="Times New Roman" w:hAnsi="Times New Roman"/>
          <w:color w:val="000000"/>
          <w:sz w:val="24"/>
        </w:rPr>
        <w:t>For additional information, the following tables summarize the worldwide operating results and property and equipment for each of the Company’s vessel classes for the periods indicated (in thousands, except statistics):</w:t>
      </w:r>
    </w:p>
    <w:tbl>
      <w:tblPr>
        <w:tblW w:w="10205" w:type="dxa"/>
        <w:jc w:val="left"/>
        <w:tblInd w:w="0" w:type="dxa"/>
        <w:tblLayout w:type="fixed"/>
        <w:tblCellMar>
          <w:top w:w="28" w:type="dxa"/>
          <w:left w:w="28" w:type="dxa"/>
          <w:bottom w:w="28" w:type="dxa"/>
          <w:right w:w="28" w:type="dxa"/>
        </w:tblCellMar>
      </w:tblPr>
      <w:tblGrid>
        <w:gridCol w:w="2909"/>
        <w:gridCol w:w="146"/>
        <w:gridCol w:w="252"/>
        <w:gridCol w:w="446"/>
        <w:gridCol w:w="256"/>
        <w:gridCol w:w="146"/>
        <w:gridCol w:w="196"/>
        <w:gridCol w:w="601"/>
        <w:gridCol w:w="256"/>
        <w:gridCol w:w="146"/>
        <w:gridCol w:w="196"/>
        <w:gridCol w:w="601"/>
        <w:gridCol w:w="256"/>
        <w:gridCol w:w="146"/>
        <w:gridCol w:w="196"/>
        <w:gridCol w:w="601"/>
        <w:gridCol w:w="256"/>
        <w:gridCol w:w="146"/>
        <w:gridCol w:w="226"/>
        <w:gridCol w:w="435"/>
        <w:gridCol w:w="256"/>
        <w:gridCol w:w="146"/>
        <w:gridCol w:w="196"/>
        <w:gridCol w:w="601"/>
        <w:gridCol w:w="593"/>
      </w:tblGrid>
      <w:tr>
        <w:trPr/>
        <w:tc>
          <w:tcPr>
            <w:tcW w:w="29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r>
      <w:tr>
        <w:trPr/>
        <w:tc>
          <w:tcPr>
            <w:tcW w:w="290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7"/>
              </w:rPr>
            </w:pPr>
            <w:r>
              <w:rPr>
                <w:rFonts w:ascii="Times New Roman" w:hAnsi="Times New Roman"/>
                <w:b/>
                <w:color w:val="000000"/>
                <w:sz w:val="17"/>
              </w:rPr>
              <w:t xml:space="preserve">AHTS </w:t>
            </w:r>
            <w:r>
              <w:rPr>
                <w:rFonts w:ascii="Times New Roman" w:hAnsi="Times New Roman"/>
                <w:b/>
                <w:color w:val="000000"/>
                <w:sz w:val="11"/>
              </w:rPr>
              <w:t>(1)</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7"/>
              </w:rPr>
            </w:pPr>
            <w:r>
              <w:rPr>
                <w:rFonts w:ascii="Times New Roman" w:hAnsi="Times New Roman"/>
                <w:b/>
                <w:color w:val="000000"/>
                <w:sz w:val="17"/>
              </w:rPr>
              <w:t xml:space="preserve">FSV </w:t>
            </w:r>
            <w:r>
              <w:rPr>
                <w:rFonts w:ascii="Times New Roman" w:hAnsi="Times New Roman"/>
                <w:b/>
                <w:color w:val="000000"/>
                <w:sz w:val="11"/>
              </w:rPr>
              <w:t>(2)</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7"/>
              </w:rPr>
            </w:pPr>
            <w:r>
              <w:rPr>
                <w:rFonts w:ascii="Times New Roman" w:hAnsi="Times New Roman"/>
                <w:b/>
                <w:color w:val="000000"/>
                <w:sz w:val="17"/>
              </w:rPr>
              <w:t xml:space="preserve">PSV </w:t>
            </w:r>
            <w:r>
              <w:rPr>
                <w:rFonts w:ascii="Times New Roman" w:hAnsi="Times New Roman"/>
                <w:b/>
                <w:color w:val="000000"/>
                <w:sz w:val="11"/>
              </w:rPr>
              <w:t>(3)</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Liftboats</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Other</w:t>
              <w:br/>
              <w:t>activity</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Total</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For the Three Months Ended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9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Time Charter Statistics: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90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Average Rates Per Day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14,411</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28,443</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16,417</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3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20,227</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0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Fleet Utilization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290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Fleet Available Days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1,840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1,427</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368</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3,635</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Operating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90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Time charter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19,636</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28,622</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1,448</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49,697</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0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Bareboat charter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834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834</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0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Other marine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1,819</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1,459</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789</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32</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4,099</w:t>
            </w:r>
          </w:p>
        </w:tc>
        <w:tc>
          <w:tcPr>
            <w:tcW w:w="5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9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21,455</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30,915</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2,237</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23</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54,630</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Direct Costs and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90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Operating: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2909"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Personnel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5,416</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7,859</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2,409</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15,697</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909"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Repairs and maintenance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6,434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2,865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3,294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12,648</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909"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Drydocking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898</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803</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1,260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2,961</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909"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Insurance and loss reserves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951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903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844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2,698</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909"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Fuel, lubes and supplies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1,481</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3,290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531</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5,302</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909"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2,548</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4,357</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497</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(24</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7,378</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17,728</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20,077</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8,835</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44</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46,684</w:t>
            </w:r>
          </w:p>
        </w:tc>
        <w:tc>
          <w:tcPr>
            <w:tcW w:w="5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9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Other Costs and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90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Lease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4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266</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266</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0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Administrative and general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12,343</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0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5,244</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3,565</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1,734</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175</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10,718</w:t>
            </w:r>
          </w:p>
        </w:tc>
        <w:tc>
          <w:tcPr>
            <w:tcW w:w="5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9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23,327</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Gains on asset dispositions and impairments,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31,347</w:t>
            </w:r>
          </w:p>
        </w:tc>
        <w:tc>
          <w:tcPr>
            <w:tcW w:w="5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9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Operating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15,966</w:t>
            </w:r>
          </w:p>
        </w:tc>
        <w:tc>
          <w:tcPr>
            <w:tcW w:w="5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pBdr>
          <w:bottom w:val="single" w:sz="4" w:space="1" w:color="000000"/>
        </w:pBdr>
        <w:bidi w:val="0"/>
        <w:jc w:val="both"/>
        <w:rPr/>
      </w:pPr>
      <w:r>
        <w:rPr/>
        <w:t> </w:t>
      </w:r>
    </w:p>
    <w:p>
      <w:pPr>
        <w:pStyle w:val="TextBody"/>
        <w:bidi w:val="0"/>
        <w:spacing w:before="40" w:after="283"/>
        <w:jc w:val="both"/>
        <w:rPr>
          <w:rFonts w:ascii="Times New Roman" w:hAnsi="Times New Roman"/>
          <w:color w:val="000000"/>
          <w:sz w:val="18"/>
        </w:rPr>
      </w:pPr>
      <w:r>
        <w:rPr>
          <w:rFonts w:ascii="Times New Roman" w:hAnsi="Times New Roman"/>
          <w:color w:val="000000"/>
          <w:sz w:val="18"/>
        </w:rPr>
        <w:t>(1)</w:t>
      </w:r>
    </w:p>
    <w:p>
      <w:pPr>
        <w:pStyle w:val="TextBody"/>
        <w:bidi w:val="0"/>
        <w:spacing w:before="40" w:after="283"/>
        <w:jc w:val="both"/>
        <w:rPr>
          <w:rFonts w:ascii="Times New Roman" w:hAnsi="Times New Roman"/>
          <w:color w:val="000000"/>
          <w:sz w:val="16"/>
        </w:rPr>
      </w:pPr>
      <w:r>
        <w:rPr>
          <w:rFonts w:ascii="Times New Roman" w:hAnsi="Times New Roman"/>
          <w:color w:val="000000"/>
          <w:sz w:val="16"/>
        </w:rPr>
        <w:t>Anchor handling towing supply vessel (“AHTS”).</w:t>
      </w:r>
    </w:p>
    <w:p>
      <w:pPr>
        <w:pStyle w:val="TextBody"/>
        <w:bidi w:val="0"/>
        <w:spacing w:before="40" w:after="283"/>
        <w:jc w:val="both"/>
        <w:rPr>
          <w:rFonts w:ascii="Times New Roman" w:hAnsi="Times New Roman"/>
          <w:color w:val="000000"/>
          <w:sz w:val="18"/>
        </w:rPr>
      </w:pPr>
      <w:r>
        <w:rPr>
          <w:rFonts w:ascii="Times New Roman" w:hAnsi="Times New Roman"/>
          <w:color w:val="000000"/>
          <w:sz w:val="18"/>
        </w:rPr>
        <w:t>(2)</w:t>
      </w:r>
    </w:p>
    <w:p>
      <w:pPr>
        <w:pStyle w:val="TextBody"/>
        <w:bidi w:val="0"/>
        <w:spacing w:before="40" w:after="283"/>
        <w:jc w:val="both"/>
        <w:rPr>
          <w:rFonts w:ascii="Times New Roman" w:hAnsi="Times New Roman"/>
          <w:color w:val="000000"/>
          <w:sz w:val="16"/>
        </w:rPr>
      </w:pPr>
      <w:r>
        <w:rPr>
          <w:rFonts w:ascii="Times New Roman" w:hAnsi="Times New Roman"/>
          <w:color w:val="000000"/>
          <w:sz w:val="16"/>
        </w:rPr>
        <w:t>Fast support vessel (“FSV”).</w:t>
      </w:r>
    </w:p>
    <w:p>
      <w:pPr>
        <w:pStyle w:val="TextBody"/>
        <w:bidi w:val="0"/>
        <w:spacing w:before="40" w:after="200"/>
        <w:jc w:val="both"/>
        <w:rPr>
          <w:rFonts w:ascii="Times New Roman" w:hAnsi="Times New Roman"/>
          <w:color w:val="000000"/>
          <w:sz w:val="18"/>
        </w:rPr>
      </w:pPr>
      <w:r>
        <w:rPr>
          <w:rFonts w:ascii="Times New Roman" w:hAnsi="Times New Roman"/>
          <w:color w:val="000000"/>
          <w:sz w:val="18"/>
        </w:rPr>
        <w:t>(3)</w:t>
      </w:r>
    </w:p>
    <w:p>
      <w:pPr>
        <w:pStyle w:val="TextBody"/>
        <w:bidi w:val="0"/>
        <w:spacing w:before="40" w:after="200"/>
        <w:jc w:val="both"/>
        <w:rPr/>
      </w:pPr>
      <w:r>
        <w:rPr>
          <w:rFonts w:ascii="Times New Roman" w:hAnsi="Times New Roman"/>
          <w:color w:val="000000"/>
          <w:sz w:val="16"/>
        </w:rPr>
        <w:t>Platform support vessel (“PSV”)</w:t>
      </w:r>
      <w:r>
        <w:rPr>
          <w:rFonts w:ascii="Times New Roman" w:hAnsi="Times New Roman"/>
          <w:color w:val="000000"/>
          <w:sz w:val="20"/>
        </w:rPr>
        <w:t>.</w:t>
      </w:r>
    </w:p>
    <w:p>
      <w:pPr>
        <w:pStyle w:val="TextBody"/>
        <w:bidi w:val="0"/>
        <w:jc w:val="center"/>
        <w:rPr/>
      </w:pPr>
      <w:r>
        <w:rPr/>
        <w:t> </w:t>
      </w:r>
    </w:p>
    <w:p>
      <w:pPr>
        <w:pStyle w:val="TextBody"/>
        <w:bidi w:val="0"/>
        <w:jc w:val="center"/>
        <w:rPr>
          <w:rFonts w:ascii="Times New Roman" w:hAnsi="Times New Roman"/>
          <w:color w:val="000000"/>
          <w:sz w:val="24"/>
        </w:rPr>
      </w:pPr>
      <w:r>
        <w:rPr>
          <w:rFonts w:ascii="Times New Roman" w:hAnsi="Times New Roman"/>
          <w:color w:val="000000"/>
          <w:sz w:val="24"/>
        </w:rPr>
        <w:t>30</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377"/>
        <w:gridCol w:w="146"/>
        <w:gridCol w:w="201"/>
        <w:gridCol w:w="355"/>
        <w:gridCol w:w="256"/>
        <w:gridCol w:w="146"/>
        <w:gridCol w:w="196"/>
        <w:gridCol w:w="751"/>
        <w:gridCol w:w="256"/>
        <w:gridCol w:w="146"/>
        <w:gridCol w:w="196"/>
        <w:gridCol w:w="691"/>
        <w:gridCol w:w="256"/>
        <w:gridCol w:w="146"/>
        <w:gridCol w:w="196"/>
        <w:gridCol w:w="691"/>
        <w:gridCol w:w="256"/>
        <w:gridCol w:w="146"/>
        <w:gridCol w:w="196"/>
        <w:gridCol w:w="661"/>
        <w:gridCol w:w="256"/>
        <w:gridCol w:w="146"/>
        <w:gridCol w:w="196"/>
        <w:gridCol w:w="751"/>
        <w:gridCol w:w="591"/>
      </w:tblGrid>
      <w:tr>
        <w:trPr/>
        <w:tc>
          <w:tcPr>
            <w:tcW w:w="23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237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AHTS</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FSV</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PSV</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Liftboats</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Other</w:t>
              <w:br/>
              <w:t>activity</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Total</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For the Six Months Ended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3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Time Charter Statistics: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37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Average Rates Per Day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14,122</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27,023</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16,419</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19,245</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37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Fleet Utilization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237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Fleet Available Days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3,702</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3,012</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818</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7,532</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Operating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37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Time charter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3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38,565</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50,310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2,788</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91,654</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37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Bareboat charter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1,662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1,662</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37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Other marine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2,290</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2,270</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967</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69</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5,596</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3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40,855</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54,242</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3,755</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60</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98,912</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3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Direct Costs and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37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Operating: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237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Personnel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10,582</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15,207</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5,306</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24</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31,119</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37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Repairs and maintenance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9,613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5,666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7,888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23,248</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37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Drydocking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1,474</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936</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1,803</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4,213</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37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Insurance and loss reserves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1,614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1,351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1,787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(262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4,490</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37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Fuel, lubes and supplies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2,984</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4,491</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1,131</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8,610</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37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4,231</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7,649</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679</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18</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12,577</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37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30,498</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35,300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18,594</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(135</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84,257</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Other Costs and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37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Lease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3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516</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516</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37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Administrative and general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22,297</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37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9,963</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7,139</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3,761</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185</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21,048</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3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43,861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3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Gains on asset dispositions and impairments,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38,795</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3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Operating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9,589</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3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As of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3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5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37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Historical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339,525</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275,120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120,132</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19,592</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754,369</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37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Accumulated depreciation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(186,497</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(81,444</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(64,460</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(19,439</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(351,840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w:t>
            </w:r>
          </w:p>
        </w:tc>
      </w:tr>
      <w:tr>
        <w:trPr/>
        <w:tc>
          <w:tcPr>
            <w:tcW w:w="237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153,028</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193,676</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55,672</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153</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402,529</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2977"/>
        <w:gridCol w:w="146"/>
        <w:gridCol w:w="196"/>
        <w:gridCol w:w="436"/>
        <w:gridCol w:w="256"/>
        <w:gridCol w:w="146"/>
        <w:gridCol w:w="196"/>
        <w:gridCol w:w="601"/>
        <w:gridCol w:w="256"/>
        <w:gridCol w:w="146"/>
        <w:gridCol w:w="196"/>
        <w:gridCol w:w="601"/>
        <w:gridCol w:w="256"/>
        <w:gridCol w:w="146"/>
        <w:gridCol w:w="196"/>
        <w:gridCol w:w="601"/>
        <w:gridCol w:w="256"/>
        <w:gridCol w:w="146"/>
        <w:gridCol w:w="226"/>
        <w:gridCol w:w="435"/>
        <w:gridCol w:w="256"/>
        <w:gridCol w:w="146"/>
        <w:gridCol w:w="196"/>
        <w:gridCol w:w="601"/>
        <w:gridCol w:w="591"/>
      </w:tblGrid>
      <w:tr>
        <w:trPr/>
        <w:tc>
          <w:tcPr>
            <w:tcW w:w="29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297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AHTS</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FSV</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PSV</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Liftboats</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Other</w:t>
              <w:br/>
              <w:t>activity</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Total</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For the Three Months Ended June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9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Time Charter Statistics: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97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Average Rates Per Day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13,468</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22,231</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31,904</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43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19,731</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7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Fleet Utilization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297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Fleet Available Days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1,935</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1,738</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637</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4,310</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Operating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97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Time charter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(22</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17,573</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26,440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13,682</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43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57,673</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7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Bareboat charter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838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838</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7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Other marine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516</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433</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1,168</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191</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2,299</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97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(31</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18,089</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27,711</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14,850</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191</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60,810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Direct Costs and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97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Operating: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297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Personnel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4,526</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8,567</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5,673</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194</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18,969</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97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Repairs and maintenance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255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3,542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3,799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6,022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13,648</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97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Drydocking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666</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1,993</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2,484</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5,143</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97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Insurance and loss reserves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683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906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1,376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2,982</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97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Fuel, lubes and supplies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(125</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1,449</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1,858</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1,114</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4,296</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97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1,428</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2,199</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803</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29</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4,455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7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131</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12,294</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19,322</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17,472</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274</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49,493</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9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Other Costs and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97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Lease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4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325</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325</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7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Administrative and general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11,998</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7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4,703</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3,943</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3,424</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17</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12,090</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9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24,413</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Gains on asset dispositions and impairments,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19,163</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9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Operating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6,067</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4"/>
        </w:rPr>
      </w:pPr>
      <w:r>
        <w:rPr>
          <w:rFonts w:ascii="Times New Roman" w:hAnsi="Times New Roman"/>
          <w:color w:val="000000"/>
          <w:sz w:val="24"/>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2316"/>
        <w:gridCol w:w="146"/>
        <w:gridCol w:w="196"/>
        <w:gridCol w:w="436"/>
        <w:gridCol w:w="241"/>
        <w:gridCol w:w="146"/>
        <w:gridCol w:w="196"/>
        <w:gridCol w:w="751"/>
        <w:gridCol w:w="241"/>
        <w:gridCol w:w="146"/>
        <w:gridCol w:w="196"/>
        <w:gridCol w:w="691"/>
        <w:gridCol w:w="241"/>
        <w:gridCol w:w="146"/>
        <w:gridCol w:w="196"/>
        <w:gridCol w:w="751"/>
        <w:gridCol w:w="241"/>
        <w:gridCol w:w="146"/>
        <w:gridCol w:w="196"/>
        <w:gridCol w:w="661"/>
        <w:gridCol w:w="241"/>
        <w:gridCol w:w="146"/>
        <w:gridCol w:w="196"/>
        <w:gridCol w:w="751"/>
        <w:gridCol w:w="591"/>
      </w:tblGrid>
      <w:tr>
        <w:trPr/>
        <w:tc>
          <w:tcPr>
            <w:tcW w:w="2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2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AHTS</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FSV</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PSV</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Liftboats</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Other</w:t>
              <w:br/>
              <w:t>activity</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Total</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For the Six Months Ended June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Time Charter Statistics: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3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Average Rates Per Day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13,633</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20,919</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35,118</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19,291</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3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Fleet Utilization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69</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62</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55</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64</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w:t>
            </w:r>
          </w:p>
        </w:tc>
      </w:tr>
      <w:tr>
        <w:trPr/>
        <w:tc>
          <w:tcPr>
            <w:tcW w:w="23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Fleet Available Days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3,915</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3,628</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1,350</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8,893</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Operating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3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Time charter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36,930</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46,726</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25,957</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109,606</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3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Bareboat charter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1,546</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1,546</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3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Other marine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1,278</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941</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2,457</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481</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5,157</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3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38,208</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49,213</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28,414</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481</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116,309</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Direct Costs and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3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Operating: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231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Personnel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9,459</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16,918</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10,920</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199</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37,506</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31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Repairs and maintenance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293</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6,525</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7,748</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7,593</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22,168</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31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Drydocking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1,019</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4,506</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3,487</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9,012</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31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Insurance and loss reserves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1,200</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1,537</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2,617</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(215</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5,135</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31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Fuel, lubes and supplies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(59</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2,622</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4,452</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1,826</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8,842</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31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3,210</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4,217</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1,285</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38</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8,758</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31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248</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24,035</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39,378</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27,728</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32</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91,421</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Other Costs and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3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Lease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662</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662</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3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Administrative and general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23,484</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3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9,635</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8,076</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7,143</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39</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24,900</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49,046</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Gains on asset dispositions and impairments,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24,972</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Operating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814</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As of June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3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Historical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948</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341,426</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296,183</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229,920</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18,931</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887,408</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3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Accumulated depreciation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(833</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(168,742</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(74,359</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(114,641</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(18,690</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(377,265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w:t>
            </w:r>
          </w:p>
        </w:tc>
      </w:tr>
      <w:tr>
        <w:trPr/>
        <w:tc>
          <w:tcPr>
            <w:tcW w:w="23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4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115</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172,684</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221,824</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115,279</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241</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510,143</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00"/>
        <w:jc w:val="both"/>
        <w:rPr>
          <w:rFonts w:ascii="Times New Roman" w:hAnsi="Times New Roman"/>
          <w:sz w:val="20"/>
        </w:rPr>
      </w:pPr>
      <w:r>
        <w:rPr>
          <w:rFonts w:ascii="Times New Roman" w:hAnsi="Times New Roman"/>
          <w:b/>
          <w:i/>
          <w:color w:val="000000"/>
          <w:sz w:val="24"/>
        </w:rPr>
        <w:t>Fleet Counts.</w:t>
      </w:r>
      <w:r>
        <w:rPr>
          <w:rFonts w:ascii="Times New Roman" w:hAnsi="Times New Roman"/>
          <w:color w:val="000000"/>
          <w:sz w:val="20"/>
        </w:rPr>
        <w:t xml:space="preserve"> </w:t>
      </w:r>
      <w:r>
        <w:rPr>
          <w:rFonts w:ascii="Times New Roman" w:hAnsi="Times New Roman"/>
          <w:color w:val="000000"/>
          <w:sz w:val="24"/>
        </w:rPr>
        <w:t>The Company’s fleet count as of June 30, 2026 and December 31, 2025 was as follows:</w:t>
      </w:r>
    </w:p>
    <w:tbl>
      <w:tblPr>
        <w:tblW w:w="3362" w:type="dxa"/>
        <w:jc w:val="left"/>
        <w:tblInd w:w="0" w:type="dxa"/>
        <w:tblLayout w:type="fixed"/>
        <w:tblCellMar>
          <w:top w:w="28" w:type="dxa"/>
          <w:left w:w="28" w:type="dxa"/>
          <w:bottom w:w="28" w:type="dxa"/>
          <w:right w:w="28" w:type="dxa"/>
        </w:tblCellMar>
      </w:tblPr>
      <w:tblGrid>
        <w:gridCol w:w="1561"/>
        <w:gridCol w:w="146"/>
        <w:gridCol w:w="223"/>
        <w:gridCol w:w="438"/>
        <w:gridCol w:w="146"/>
        <w:gridCol w:w="146"/>
        <w:gridCol w:w="172"/>
        <w:gridCol w:w="339"/>
        <w:gridCol w:w="191"/>
      </w:tblGrid>
      <w:tr>
        <w:trPr/>
        <w:tc>
          <w:tcPr>
            <w:tcW w:w="15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5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Owned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June 30, 2026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5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FSV</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PSV</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Liftboats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56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5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5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FSV</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PSV</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Liftboats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5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center"/>
        <w:rPr/>
      </w:pPr>
      <w:r>
        <w:rPr/>
        <w:t> </w:t>
      </w:r>
    </w:p>
    <w:p>
      <w:pPr>
        <w:pStyle w:val="TextBody"/>
        <w:bidi w:val="0"/>
        <w:jc w:val="center"/>
        <w:rPr>
          <w:rFonts w:ascii="Times New Roman" w:hAnsi="Times New Roman"/>
          <w:color w:val="000000"/>
          <w:sz w:val="24"/>
        </w:rPr>
      </w:pPr>
      <w:r>
        <w:rPr>
          <w:rFonts w:ascii="Times New Roman" w:hAnsi="Times New Roman"/>
          <w:color w:val="000000"/>
          <w:sz w:val="24"/>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b/>
          <w:color w:val="000000"/>
          <w:sz w:val="24"/>
        </w:rPr>
        <w:t>Operating</w:t>
      </w:r>
      <w:r>
        <w:rPr>
          <w:rFonts w:ascii="Times New Roman" w:hAnsi="Times New Roman"/>
          <w:color w:val="000000"/>
          <w:sz w:val="20"/>
        </w:rPr>
        <w:t xml:space="preserve"> </w:t>
      </w:r>
      <w:r>
        <w:rPr>
          <w:rFonts w:ascii="Times New Roman" w:hAnsi="Times New Roman"/>
          <w:b/>
          <w:color w:val="000000"/>
          <w:sz w:val="24"/>
        </w:rPr>
        <w:t>Income</w:t>
      </w:r>
      <w:r>
        <w:rPr>
          <w:rFonts w:ascii="Times New Roman" w:hAnsi="Times New Roman"/>
          <w:color w:val="000000"/>
          <w:sz w:val="20"/>
        </w:rPr>
        <w:t xml:space="preserve"> </w:t>
      </w:r>
      <w:r>
        <w:rPr>
          <w:rFonts w:ascii="Times New Roman" w:hAnsi="Times New Roman"/>
          <w:b/>
          <w:color w:val="000000"/>
          <w:sz w:val="24"/>
        </w:rPr>
        <w:t>(Loss)</w:t>
      </w:r>
    </w:p>
    <w:p>
      <w:pPr>
        <w:pStyle w:val="TextBody"/>
        <w:bidi w:val="0"/>
        <w:spacing w:before="200" w:after="200"/>
        <w:jc w:val="both"/>
        <w:rPr>
          <w:rFonts w:ascii="Times New Roman" w:hAnsi="Times New Roman"/>
          <w:sz w:val="20"/>
        </w:rPr>
      </w:pPr>
      <w:r>
        <w:rPr>
          <w:rFonts w:ascii="Times New Roman" w:hAnsi="Times New Roman"/>
          <w:b/>
          <w:i/>
          <w:color w:val="000000"/>
          <w:sz w:val="24"/>
        </w:rPr>
        <w:t>Americas.</w:t>
      </w:r>
      <w:r>
        <w:rPr>
          <w:rFonts w:ascii="Times New Roman" w:hAnsi="Times New Roman"/>
          <w:color w:val="000000"/>
          <w:sz w:val="20"/>
        </w:rPr>
        <w:t xml:space="preserve"> </w:t>
      </w:r>
      <w:r>
        <w:rPr>
          <w:rFonts w:ascii="Times New Roman" w:hAnsi="Times New Roman"/>
          <w:color w:val="000000"/>
          <w:sz w:val="24"/>
        </w:rPr>
        <w:t>For the three and six months ended June 30, 2026 and 2025 the Company’s time charter statistics and direct vessel profit in the Americas were as follows (in thousands, except statistics):</w:t>
      </w:r>
    </w:p>
    <w:tbl>
      <w:tblPr>
        <w:tblW w:w="10205" w:type="dxa"/>
        <w:jc w:val="left"/>
        <w:tblInd w:w="0" w:type="dxa"/>
        <w:tblLayout w:type="fixed"/>
        <w:tblCellMar>
          <w:top w:w="28" w:type="dxa"/>
          <w:left w:w="28" w:type="dxa"/>
          <w:bottom w:w="28" w:type="dxa"/>
          <w:right w:w="28" w:type="dxa"/>
        </w:tblCellMar>
      </w:tblPr>
      <w:tblGrid>
        <w:gridCol w:w="1708"/>
        <w:gridCol w:w="146"/>
        <w:gridCol w:w="196"/>
        <w:gridCol w:w="601"/>
        <w:gridCol w:w="146"/>
        <w:gridCol w:w="146"/>
        <w:gridCol w:w="146"/>
        <w:gridCol w:w="376"/>
        <w:gridCol w:w="256"/>
        <w:gridCol w:w="146"/>
        <w:gridCol w:w="196"/>
        <w:gridCol w:w="601"/>
        <w:gridCol w:w="146"/>
        <w:gridCol w:w="146"/>
        <w:gridCol w:w="146"/>
        <w:gridCol w:w="376"/>
        <w:gridCol w:w="256"/>
        <w:gridCol w:w="146"/>
        <w:gridCol w:w="196"/>
        <w:gridCol w:w="601"/>
        <w:gridCol w:w="146"/>
        <w:gridCol w:w="146"/>
        <w:gridCol w:w="146"/>
        <w:gridCol w:w="376"/>
        <w:gridCol w:w="256"/>
        <w:gridCol w:w="146"/>
        <w:gridCol w:w="196"/>
        <w:gridCol w:w="601"/>
        <w:gridCol w:w="146"/>
        <w:gridCol w:w="146"/>
        <w:gridCol w:w="146"/>
        <w:gridCol w:w="376"/>
        <w:gridCol w:w="701"/>
      </w:tblGrid>
      <w:tr>
        <w:trPr/>
        <w:tc>
          <w:tcPr>
            <w:tcW w:w="170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r>
      <w:tr>
        <w:trPr/>
        <w:tc>
          <w:tcPr>
            <w:tcW w:w="170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24"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For the Three Months Ended June 30,</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24"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For the Six Months Ended June 30,</w:t>
            </w:r>
          </w:p>
        </w:tc>
        <w:tc>
          <w:tcPr>
            <w:tcW w:w="7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0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7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Time Charter Statistics: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70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Rates Per Day Worked: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0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170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FSV</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16,120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15,188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15,668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14,328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0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170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PSV</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40,131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22,825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34,334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23,327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0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170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Liftboats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16,417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30,230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16,420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32,063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0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170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Overall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28,394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24,622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24,728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23,829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70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Utilization: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0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170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FSV</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w:t>
            </w:r>
          </w:p>
        </w:tc>
        <w:tc>
          <w:tcPr>
            <w:tcW w:w="70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170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PSV</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w:t>
            </w:r>
          </w:p>
        </w:tc>
        <w:tc>
          <w:tcPr>
            <w:tcW w:w="70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170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Liftboats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w:t>
            </w:r>
          </w:p>
        </w:tc>
        <w:tc>
          <w:tcPr>
            <w:tcW w:w="70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170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Overall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w:t>
            </w:r>
          </w:p>
        </w:tc>
        <w:tc>
          <w:tcPr>
            <w:tcW w:w="7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170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Available Days: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0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170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FSV</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0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170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PSV</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0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170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Liftboats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988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0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170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Overall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935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1,553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2,304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3,256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7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70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Time charter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15,518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20,773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25,361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36,161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89</w:t>
            </w:r>
          </w:p>
        </w:tc>
        <w:tc>
          <w:tcPr>
            <w:tcW w:w="7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170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Bareboat charter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w:t>
            </w:r>
          </w:p>
        </w:tc>
        <w:tc>
          <w:tcPr>
            <w:tcW w:w="7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170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Other marine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1,353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1,061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1,635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2,775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w:t>
            </w:r>
          </w:p>
        </w:tc>
        <w:tc>
          <w:tcPr>
            <w:tcW w:w="7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70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17,705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22,672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28,658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40,482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w:t>
            </w:r>
          </w:p>
        </w:tc>
        <w:tc>
          <w:tcPr>
            <w:tcW w:w="7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7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Direct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70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Personnel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8,943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11,329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17,370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w:t>
            </w:r>
          </w:p>
        </w:tc>
        <w:tc>
          <w:tcPr>
            <w:tcW w:w="7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170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Repairs and maintenance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w:t>
            </w:r>
          </w:p>
        </w:tc>
        <w:tc>
          <w:tcPr>
            <w:tcW w:w="7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170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Drydocking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w:t>
            </w:r>
          </w:p>
        </w:tc>
        <w:tc>
          <w:tcPr>
            <w:tcW w:w="7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170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Insurance and loss reserves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w:t>
            </w:r>
          </w:p>
        </w:tc>
        <w:tc>
          <w:tcPr>
            <w:tcW w:w="7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170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Fuel, lubes and supplies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w:t>
            </w:r>
          </w:p>
        </w:tc>
        <w:tc>
          <w:tcPr>
            <w:tcW w:w="7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170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3,271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994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4,655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1,689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w:t>
            </w:r>
          </w:p>
        </w:tc>
        <w:tc>
          <w:tcPr>
            <w:tcW w:w="70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170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13,806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19,374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85</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24,779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34,986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w:t>
            </w:r>
          </w:p>
        </w:tc>
        <w:tc>
          <w:tcPr>
            <w:tcW w:w="7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7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Direct Vessel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3,899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3,298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3,879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5,496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w:t>
            </w:r>
          </w:p>
        </w:tc>
        <w:tc>
          <w:tcPr>
            <w:tcW w:w="7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spacing w:before="200" w:after="283"/>
        <w:jc w:val="both"/>
        <w:rPr>
          <w:rFonts w:ascii="Times New Roman" w:hAnsi="Times New Roman"/>
          <w:b/>
          <w:color w:val="000000"/>
          <w:sz w:val="24"/>
          <w:u w:val="single"/>
        </w:rPr>
      </w:pPr>
      <w:r>
        <w:rPr>
          <w:rFonts w:ascii="Times New Roman" w:hAnsi="Times New Roman"/>
          <w:b/>
          <w:color w:val="000000"/>
          <w:sz w:val="24"/>
          <w:u w:val="single"/>
        </w:rPr>
        <w:t>Current Year Quarter compared with Prior Year Quarter</w:t>
      </w:r>
    </w:p>
    <w:p>
      <w:pPr>
        <w:pStyle w:val="TextBody"/>
        <w:bidi w:val="0"/>
        <w:spacing w:before="200" w:after="283"/>
        <w:jc w:val="both"/>
        <w:rPr>
          <w:rFonts w:ascii="Times New Roman" w:hAnsi="Times New Roman"/>
          <w:sz w:val="20"/>
        </w:rPr>
      </w:pPr>
      <w:r>
        <w:rPr>
          <w:rFonts w:ascii="Times New Roman" w:hAnsi="Times New Roman"/>
          <w:i/>
          <w:color w:val="000000"/>
          <w:sz w:val="24"/>
        </w:rPr>
        <w:t>Operating Revenues</w:t>
      </w:r>
      <w:r>
        <w:rPr>
          <w:rFonts w:ascii="Times New Roman" w:hAnsi="Times New Roman"/>
          <w:color w:val="000000"/>
          <w:sz w:val="24"/>
        </w:rPr>
        <w:t>. Charter revenues were $5.3 million lower in the Current Year Quarter compared with the Prior Year Quarter. Charter revenues were $10.7 million lower due to the disposition of five vessels subsequent to the Prior Year Quarter. Charter revenues were $5.3 million higher due to the repositioning of two vessels with higher than average day rates into the region partially offset by four vessels repositioned out of the region subsequent to the Prior Year Quarter. Charter revenues were $0.1 million higher for the vessels included in the results of this region in both comparative periods (as applicable to each region, the “Regional Core Fleet”), which consists of seven vessels, due to higher utilization of 61% in the Current Year Quarter compared to 51% in the Prior Year Quarter offset by lower average day rates of $20,886 in the Current Year Quarter compared to $24,730 in the Prior Year Quarter. Other marine services were $0.3 million higher primarily due to higher mobilization revenues offset by lower catering revenues. As of June 30, 2026, the Company had no vessels cold-stacked in this region compared with three of 11 owned vessels (three FSVs) as of June 30, 2025.</w:t>
      </w:r>
    </w:p>
    <w:p>
      <w:pPr>
        <w:pStyle w:val="TextBody"/>
        <w:bidi w:val="0"/>
        <w:spacing w:before="200" w:after="283"/>
        <w:jc w:val="both"/>
        <w:rPr>
          <w:rFonts w:ascii="Times New Roman" w:hAnsi="Times New Roman"/>
          <w:sz w:val="20"/>
        </w:rPr>
      </w:pPr>
      <w:r>
        <w:rPr>
          <w:rFonts w:ascii="Times New Roman" w:hAnsi="Times New Roman"/>
          <w:i/>
          <w:color w:val="000000"/>
          <w:sz w:val="24"/>
        </w:rPr>
        <w:t>Direct Operating Expenses</w:t>
      </w:r>
      <w:r>
        <w:rPr>
          <w:rFonts w:ascii="Times New Roman" w:hAnsi="Times New Roman"/>
          <w:color w:val="000000"/>
          <w:sz w:val="24"/>
        </w:rPr>
        <w:t>. Direct operating expenses were $5.6 million lower in the Current Year Quarter compared with the Prior Year Quarter. Direct operating expenses were $11.1 million lower due to net asset dispositions, $5.4 million higher due to the repositioning of vessels between geographic regions and $0.1 million higher for the Regional Core Fleet primarily due to the timing of drydocking and repair expenditures.</w:t>
      </w:r>
    </w:p>
    <w:p>
      <w:pPr>
        <w:pStyle w:val="TextBody"/>
        <w:bidi w:val="0"/>
        <w:jc w:val="center"/>
        <w:rPr/>
      </w:pPr>
      <w:r>
        <w:rPr/>
        <w:t> </w:t>
      </w:r>
    </w:p>
    <w:p>
      <w:pPr>
        <w:pStyle w:val="TextBody"/>
        <w:bidi w:val="0"/>
        <w:jc w:val="center"/>
        <w:rPr>
          <w:rFonts w:ascii="Times New Roman" w:hAnsi="Times New Roman"/>
          <w:color w:val="000000"/>
          <w:sz w:val="24"/>
        </w:rPr>
      </w:pPr>
      <w:r>
        <w:rPr>
          <w:rFonts w:ascii="Times New Roman" w:hAnsi="Times New Roman"/>
          <w:color w:val="000000"/>
          <w:sz w:val="24"/>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b/>
          <w:color w:val="000000"/>
          <w:sz w:val="24"/>
          <w:u w:val="single"/>
        </w:rPr>
      </w:pPr>
      <w:r>
        <w:rPr>
          <w:rFonts w:ascii="Times New Roman" w:hAnsi="Times New Roman"/>
          <w:b/>
          <w:color w:val="000000"/>
          <w:sz w:val="24"/>
          <w:u w:val="single"/>
        </w:rPr>
        <w:t>Current Year Six Months compared with Prior Year Six Months</w:t>
      </w:r>
    </w:p>
    <w:p>
      <w:pPr>
        <w:pStyle w:val="TextBody"/>
        <w:bidi w:val="0"/>
        <w:spacing w:before="200" w:after="283"/>
        <w:jc w:val="both"/>
        <w:rPr>
          <w:rFonts w:ascii="Times New Roman" w:hAnsi="Times New Roman"/>
          <w:sz w:val="20"/>
        </w:rPr>
      </w:pPr>
      <w:r>
        <w:rPr>
          <w:rFonts w:ascii="Times New Roman" w:hAnsi="Times New Roman"/>
          <w:i/>
          <w:color w:val="000000"/>
          <w:sz w:val="24"/>
        </w:rPr>
        <w:t>Operating Revenues</w:t>
      </w:r>
      <w:r>
        <w:rPr>
          <w:rFonts w:ascii="Times New Roman" w:hAnsi="Times New Roman"/>
          <w:color w:val="000000"/>
          <w:sz w:val="24"/>
        </w:rPr>
        <w:t>. Charter revenues were $10.7 million lower in the Current Year Six Months compared with the Prior Year Six Months. Charter revenues were $15.4 million lower due to the disposition of five vessels subsequent to the Prior Year Six Months and were $0.7 million lower for the Regional Core Fleet, which consists of seven vessels, due to lower average day rates of $21,067 in the Current Year Six Months compared to $23,460 in the Prior Year Six Months offset by higher utilization of 56% in the Current Year Six Months compared to 53% in the Prior Year Six Months. Charter revenues were $5.4 million higher due to the repositioning of three vessels with higher than average day rates into the region partially offset by four vessels repositioned out of the region subsequent to the Prior Year Six Months. Other marine services were $1.1 million lower primarily due to lower catering revenues.</w:t>
      </w:r>
    </w:p>
    <w:p>
      <w:pPr>
        <w:pStyle w:val="TextBody"/>
        <w:bidi w:val="0"/>
        <w:spacing w:before="200" w:after="283"/>
        <w:jc w:val="both"/>
        <w:rPr>
          <w:rFonts w:ascii="Times New Roman" w:hAnsi="Times New Roman"/>
          <w:sz w:val="20"/>
        </w:rPr>
      </w:pPr>
      <w:r>
        <w:rPr>
          <w:rFonts w:ascii="Times New Roman" w:hAnsi="Times New Roman"/>
          <w:i/>
          <w:color w:val="000000"/>
          <w:sz w:val="24"/>
        </w:rPr>
        <w:t>Direct Operating Expenses</w:t>
      </w:r>
      <w:r>
        <w:rPr>
          <w:rFonts w:ascii="Times New Roman" w:hAnsi="Times New Roman"/>
          <w:color w:val="000000"/>
          <w:sz w:val="24"/>
        </w:rPr>
        <w:t>. Direct operating expenses were $10.2 million lower in the Current Year Six Months compared with the Prior Year Six Months. Direct operating expenses were $18.6 million lower due to net asset dispositions, $8.0 million higher due to the repositioning of vessels between geographic regions and $0.4 million higher for the Regional Core Fleet primarily due to the timing of drydocking and repair expenditures.</w:t>
      </w:r>
    </w:p>
    <w:p>
      <w:pPr>
        <w:pStyle w:val="TextBody"/>
        <w:bidi w:val="0"/>
        <w:spacing w:before="200" w:after="200"/>
        <w:jc w:val="both"/>
        <w:rPr>
          <w:rFonts w:ascii="Times New Roman" w:hAnsi="Times New Roman"/>
          <w:sz w:val="20"/>
        </w:rPr>
      </w:pPr>
      <w:r>
        <w:rPr>
          <w:rFonts w:ascii="Times New Roman" w:hAnsi="Times New Roman"/>
          <w:b/>
          <w:i/>
          <w:color w:val="000000"/>
          <w:sz w:val="24"/>
        </w:rPr>
        <w:t>Africa and Europe.</w:t>
      </w:r>
      <w:r>
        <w:rPr>
          <w:rFonts w:ascii="Times New Roman" w:hAnsi="Times New Roman"/>
          <w:color w:val="000000"/>
          <w:sz w:val="20"/>
        </w:rPr>
        <w:t xml:space="preserve"> </w:t>
      </w:r>
      <w:r>
        <w:rPr>
          <w:rFonts w:ascii="Times New Roman" w:hAnsi="Times New Roman"/>
          <w:color w:val="000000"/>
          <w:sz w:val="24"/>
        </w:rPr>
        <w:t>For the three and six months ended June 30, 2026 and 2025 the Company’s time charter statistics and direct vessel profit in Africa and Europe were as follows (in thousands, except statistics):</w:t>
      </w:r>
    </w:p>
    <w:tbl>
      <w:tblPr>
        <w:tblW w:w="10205" w:type="dxa"/>
        <w:jc w:val="left"/>
        <w:tblInd w:w="0" w:type="dxa"/>
        <w:tblLayout w:type="fixed"/>
        <w:tblCellMar>
          <w:top w:w="28" w:type="dxa"/>
          <w:left w:w="28" w:type="dxa"/>
          <w:bottom w:w="28" w:type="dxa"/>
          <w:right w:w="28" w:type="dxa"/>
        </w:tblCellMar>
      </w:tblPr>
      <w:tblGrid>
        <w:gridCol w:w="1708"/>
        <w:gridCol w:w="146"/>
        <w:gridCol w:w="196"/>
        <w:gridCol w:w="601"/>
        <w:gridCol w:w="146"/>
        <w:gridCol w:w="146"/>
        <w:gridCol w:w="146"/>
        <w:gridCol w:w="376"/>
        <w:gridCol w:w="256"/>
        <w:gridCol w:w="146"/>
        <w:gridCol w:w="196"/>
        <w:gridCol w:w="601"/>
        <w:gridCol w:w="146"/>
        <w:gridCol w:w="146"/>
        <w:gridCol w:w="146"/>
        <w:gridCol w:w="376"/>
        <w:gridCol w:w="256"/>
        <w:gridCol w:w="146"/>
        <w:gridCol w:w="196"/>
        <w:gridCol w:w="601"/>
        <w:gridCol w:w="146"/>
        <w:gridCol w:w="146"/>
        <w:gridCol w:w="146"/>
        <w:gridCol w:w="376"/>
        <w:gridCol w:w="256"/>
        <w:gridCol w:w="146"/>
        <w:gridCol w:w="196"/>
        <w:gridCol w:w="601"/>
        <w:gridCol w:w="146"/>
        <w:gridCol w:w="146"/>
        <w:gridCol w:w="146"/>
        <w:gridCol w:w="376"/>
        <w:gridCol w:w="701"/>
      </w:tblGrid>
      <w:tr>
        <w:trPr/>
        <w:tc>
          <w:tcPr>
            <w:tcW w:w="170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r>
      <w:tr>
        <w:trPr/>
        <w:tc>
          <w:tcPr>
            <w:tcW w:w="170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24"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For the Three Months Ended June 30,</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24"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For the Six Months Ended June 30,</w:t>
            </w:r>
          </w:p>
        </w:tc>
        <w:tc>
          <w:tcPr>
            <w:tcW w:w="7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0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7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Time Charter Statistics: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70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Rates Per Day Worked: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0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170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FSV</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15,710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15,278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15,445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15,702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0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170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PSV</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23,467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25,473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23,894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22,825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0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170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Overall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18,877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19,140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18,798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18,246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70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Utilization: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0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170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FSV</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84</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83</w:t>
            </w:r>
          </w:p>
        </w:tc>
        <w:tc>
          <w:tcPr>
            <w:tcW w:w="70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170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PSV</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w:t>
            </w:r>
          </w:p>
        </w:tc>
        <w:tc>
          <w:tcPr>
            <w:tcW w:w="70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170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Overall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w:t>
            </w:r>
          </w:p>
        </w:tc>
        <w:tc>
          <w:tcPr>
            <w:tcW w:w="7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170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Available Days: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0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170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FSV</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0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170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PSV</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0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170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Overall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60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1,741</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60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1,668</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60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3,279</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60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3,378</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0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7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70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Time charter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25,248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96</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24,535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97</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47,782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97</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45,370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96</w:t>
            </w:r>
          </w:p>
        </w:tc>
        <w:tc>
          <w:tcPr>
            <w:tcW w:w="7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170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Other marine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1,041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1,618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1,658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w:t>
            </w:r>
          </w:p>
        </w:tc>
        <w:tc>
          <w:tcPr>
            <w:tcW w:w="7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70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26,289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25,341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49,400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47,028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w:t>
            </w:r>
          </w:p>
        </w:tc>
        <w:tc>
          <w:tcPr>
            <w:tcW w:w="7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7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Direct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70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Personnel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10,505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10,698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w:t>
            </w:r>
          </w:p>
        </w:tc>
        <w:tc>
          <w:tcPr>
            <w:tcW w:w="7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170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Repairs and maintenance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w:t>
            </w:r>
          </w:p>
        </w:tc>
        <w:tc>
          <w:tcPr>
            <w:tcW w:w="7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170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Drydocking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w:t>
            </w:r>
          </w:p>
        </w:tc>
        <w:tc>
          <w:tcPr>
            <w:tcW w:w="7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170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Insurance and loss reserves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7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170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Fuel, lubes and supplies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w:t>
            </w:r>
          </w:p>
        </w:tc>
        <w:tc>
          <w:tcPr>
            <w:tcW w:w="7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170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3,154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2,357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6,346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5,084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w:t>
            </w:r>
          </w:p>
        </w:tc>
        <w:tc>
          <w:tcPr>
            <w:tcW w:w="7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70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17,824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16,032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30,795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31,419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w:t>
            </w:r>
          </w:p>
        </w:tc>
        <w:tc>
          <w:tcPr>
            <w:tcW w:w="7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7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Direct Vessel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8,465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9,309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18,605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15,609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w:t>
            </w:r>
          </w:p>
        </w:tc>
        <w:tc>
          <w:tcPr>
            <w:tcW w:w="7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4"/>
        </w:rPr>
      </w:pPr>
      <w:r>
        <w:rPr>
          <w:rFonts w:ascii="Times New Roman" w:hAnsi="Times New Roman"/>
          <w:color w:val="000000"/>
          <w:sz w:val="24"/>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b/>
          <w:color w:val="000000"/>
          <w:sz w:val="24"/>
          <w:u w:val="single"/>
        </w:rPr>
      </w:pPr>
      <w:r>
        <w:rPr>
          <w:rFonts w:ascii="Times New Roman" w:hAnsi="Times New Roman"/>
          <w:b/>
          <w:color w:val="000000"/>
          <w:sz w:val="24"/>
          <w:u w:val="single"/>
        </w:rPr>
        <w:t>Current Year Quarter compared with Prior Year Quarter</w:t>
      </w:r>
    </w:p>
    <w:p>
      <w:pPr>
        <w:pStyle w:val="TextBody"/>
        <w:bidi w:val="0"/>
        <w:spacing w:before="200" w:after="283"/>
        <w:jc w:val="both"/>
        <w:rPr>
          <w:rFonts w:ascii="Times New Roman" w:hAnsi="Times New Roman"/>
          <w:sz w:val="20"/>
        </w:rPr>
      </w:pPr>
      <w:r>
        <w:rPr>
          <w:rFonts w:ascii="Times New Roman" w:hAnsi="Times New Roman"/>
          <w:i/>
          <w:color w:val="000000"/>
          <w:sz w:val="24"/>
        </w:rPr>
        <w:t>Operating Revenues.</w:t>
      </w:r>
      <w:r>
        <w:rPr>
          <w:rFonts w:ascii="Times New Roman" w:hAnsi="Times New Roman"/>
          <w:color w:val="000000"/>
          <w:sz w:val="20"/>
        </w:rPr>
        <w:t xml:space="preserve"> </w:t>
      </w:r>
      <w:r>
        <w:rPr>
          <w:rFonts w:ascii="Times New Roman" w:hAnsi="Times New Roman"/>
          <w:color w:val="000000"/>
          <w:sz w:val="24"/>
        </w:rPr>
        <w:t>Charter revenues were $0.7 million higher in the Current Year Quarter compared with the Prior Year Quarter. Charter revenues were $5.0 million higher for the Regional Core Fleet, which consists of 15 vessels, primarily due to higher average day rates of $19,257 in the Current Year Quarter compared to $18,242 in the Prior Year Quarter and higher utilization of 91% in the Current Year Quarter compared to 74% in the Prior Year Quarter. Charter revenues were $3.2 million lower due to the repositioning of four vessels with lower than average day rates into the region partially offset by two vessels repositioning out of the region subsequent to the Prior Year Quarter and $1.1 million lower due to the disposition of one vessel subsequent to the Prior Year Quarter. Other marine services were $0.2 million higher primarily due to higher catering revenues. As of June 30, 2026 and 2025, the Company had no vessels cold-stacked in this region.</w:t>
      </w:r>
    </w:p>
    <w:p>
      <w:pPr>
        <w:pStyle w:val="TextBody"/>
        <w:bidi w:val="0"/>
        <w:spacing w:before="200" w:after="283"/>
        <w:jc w:val="both"/>
        <w:rPr>
          <w:rFonts w:ascii="Times New Roman" w:hAnsi="Times New Roman"/>
          <w:sz w:val="20"/>
        </w:rPr>
      </w:pPr>
      <w:r>
        <w:rPr>
          <w:rFonts w:ascii="Times New Roman" w:hAnsi="Times New Roman"/>
          <w:i/>
          <w:color w:val="000000"/>
          <w:sz w:val="24"/>
        </w:rPr>
        <w:t>Direct Operating Expenses.</w:t>
      </w:r>
      <w:r>
        <w:rPr>
          <w:rFonts w:ascii="Times New Roman" w:hAnsi="Times New Roman"/>
          <w:color w:val="000000"/>
          <w:sz w:val="20"/>
        </w:rPr>
        <w:t xml:space="preserve"> </w:t>
      </w:r>
      <w:r>
        <w:rPr>
          <w:rFonts w:ascii="Times New Roman" w:hAnsi="Times New Roman"/>
          <w:color w:val="000000"/>
          <w:sz w:val="24"/>
        </w:rPr>
        <w:t>Direct operating expenses were $1.8 million higher in the Current Year Quarter compared with the Prior Year Quarter. Direct operating expenses were $1.5 million higher due to the repositioning of vessels between geographic regions, $0.8 million higher for the Regional Core Fleet and $0.5 million lower due to net asset dispositions.</w:t>
      </w:r>
    </w:p>
    <w:p>
      <w:pPr>
        <w:pStyle w:val="TextBody"/>
        <w:bidi w:val="0"/>
        <w:spacing w:before="200" w:after="283"/>
        <w:jc w:val="both"/>
        <w:rPr>
          <w:rFonts w:ascii="Times New Roman" w:hAnsi="Times New Roman"/>
          <w:b/>
          <w:color w:val="000000"/>
          <w:sz w:val="24"/>
          <w:u w:val="single"/>
        </w:rPr>
      </w:pPr>
      <w:r>
        <w:rPr>
          <w:rFonts w:ascii="Times New Roman" w:hAnsi="Times New Roman"/>
          <w:b/>
          <w:color w:val="000000"/>
          <w:sz w:val="24"/>
          <w:u w:val="single"/>
        </w:rPr>
        <w:t>Current Year Six Months compared with Prior Year Six Months</w:t>
      </w:r>
    </w:p>
    <w:p>
      <w:pPr>
        <w:pStyle w:val="TextBody"/>
        <w:bidi w:val="0"/>
        <w:spacing w:before="200" w:after="283"/>
        <w:jc w:val="both"/>
        <w:rPr>
          <w:rFonts w:ascii="Times New Roman" w:hAnsi="Times New Roman"/>
          <w:sz w:val="20"/>
        </w:rPr>
      </w:pPr>
      <w:r>
        <w:rPr>
          <w:rFonts w:ascii="Times New Roman" w:hAnsi="Times New Roman"/>
          <w:i/>
          <w:color w:val="000000"/>
          <w:sz w:val="24"/>
        </w:rPr>
        <w:t>Operating Revenues.</w:t>
      </w:r>
      <w:r>
        <w:rPr>
          <w:rFonts w:ascii="Times New Roman" w:hAnsi="Times New Roman"/>
          <w:color w:val="000000"/>
          <w:sz w:val="20"/>
        </w:rPr>
        <w:t xml:space="preserve"> </w:t>
      </w:r>
      <w:r>
        <w:rPr>
          <w:rFonts w:ascii="Times New Roman" w:hAnsi="Times New Roman"/>
          <w:color w:val="000000"/>
          <w:sz w:val="24"/>
        </w:rPr>
        <w:t>Charter revenues were $2.4 million higher in the Current Year Six Months compared with the Prior Year Six Months. Charter revenues were $7.6 million higher for the Regional Core Fleet, which consists of 15 vessels, primarily due to higher average day rates of $19,153 in the Current Year Six Months compared to $18,079 in the Prior Year Six Months and higher utilization of 88% in the Current Year Six Months compared to 78% in the Prior Year Six Months. Charter revenues were $4.0 million lower due to the repositioning of three vessels into the region with lower relative utilization offset by three vessels repositioning out of the region and $1.2 million lower due to net asset dispositions subsequent to the Prior Year Six Months.</w:t>
      </w:r>
    </w:p>
    <w:p>
      <w:pPr>
        <w:pStyle w:val="TextBody"/>
        <w:bidi w:val="0"/>
        <w:spacing w:before="200" w:after="283"/>
        <w:jc w:val="both"/>
        <w:rPr>
          <w:rFonts w:ascii="Times New Roman" w:hAnsi="Times New Roman"/>
          <w:sz w:val="20"/>
        </w:rPr>
      </w:pPr>
      <w:r>
        <w:rPr>
          <w:rFonts w:ascii="Times New Roman" w:hAnsi="Times New Roman"/>
          <w:i/>
          <w:color w:val="000000"/>
          <w:sz w:val="24"/>
        </w:rPr>
        <w:t>Direct Operating Expenses.</w:t>
      </w:r>
      <w:r>
        <w:rPr>
          <w:rFonts w:ascii="Times New Roman" w:hAnsi="Times New Roman"/>
          <w:color w:val="000000"/>
          <w:sz w:val="20"/>
        </w:rPr>
        <w:t xml:space="preserve"> </w:t>
      </w:r>
      <w:r>
        <w:rPr>
          <w:rFonts w:ascii="Times New Roman" w:hAnsi="Times New Roman"/>
          <w:color w:val="000000"/>
          <w:sz w:val="24"/>
        </w:rPr>
        <w:t>Direct operating expenses were $0.6 million lower in the Current Year Six Months compared with the Prior Year Six Months. Direct operating expenses were $0.5 million lower due to net asset dispositions, $0.2 million lower due to the repositioning of vessels between geographic regions and $0.1 million higher for the Regional Core Fleet primarily due to the timing of drydocking and repair expenditures.</w:t>
      </w:r>
    </w:p>
    <w:p>
      <w:pPr>
        <w:pStyle w:val="TextBody"/>
        <w:bidi w:val="0"/>
        <w:jc w:val="center"/>
        <w:rPr/>
      </w:pPr>
      <w:r>
        <w:rPr/>
        <w:t> </w:t>
      </w:r>
    </w:p>
    <w:p>
      <w:pPr>
        <w:pStyle w:val="TextBody"/>
        <w:bidi w:val="0"/>
        <w:jc w:val="center"/>
        <w:rPr>
          <w:rFonts w:ascii="Times New Roman" w:hAnsi="Times New Roman"/>
          <w:color w:val="000000"/>
          <w:sz w:val="24"/>
        </w:rPr>
      </w:pPr>
      <w:r>
        <w:rPr>
          <w:rFonts w:ascii="Times New Roman" w:hAnsi="Times New Roman"/>
          <w:color w:val="000000"/>
          <w:sz w:val="24"/>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00"/>
        <w:jc w:val="both"/>
        <w:rPr>
          <w:rFonts w:ascii="Times New Roman" w:hAnsi="Times New Roman"/>
          <w:sz w:val="20"/>
        </w:rPr>
      </w:pPr>
      <w:r>
        <w:rPr>
          <w:rFonts w:ascii="Times New Roman" w:hAnsi="Times New Roman"/>
          <w:b/>
          <w:i/>
          <w:color w:val="000000"/>
          <w:sz w:val="24"/>
        </w:rPr>
        <w:t>Middle East and Asia.</w:t>
      </w:r>
      <w:r>
        <w:rPr>
          <w:rFonts w:ascii="Times New Roman" w:hAnsi="Times New Roman"/>
          <w:color w:val="000000"/>
          <w:sz w:val="20"/>
        </w:rPr>
        <w:t xml:space="preserve"> </w:t>
      </w:r>
      <w:r>
        <w:rPr>
          <w:rFonts w:ascii="Times New Roman" w:hAnsi="Times New Roman"/>
          <w:color w:val="000000"/>
          <w:sz w:val="24"/>
        </w:rPr>
        <w:t>For the three and six months ended June 30, 2026 and 2025 the Company’s time charter statistics and direct vessel (loss) profit in the Middle East and Asia were as follows (in thousands, except statistics):</w:t>
      </w:r>
    </w:p>
    <w:tbl>
      <w:tblPr>
        <w:tblW w:w="10205" w:type="dxa"/>
        <w:jc w:val="left"/>
        <w:tblInd w:w="0" w:type="dxa"/>
        <w:tblLayout w:type="fixed"/>
        <w:tblCellMar>
          <w:top w:w="28" w:type="dxa"/>
          <w:left w:w="28" w:type="dxa"/>
          <w:bottom w:w="28" w:type="dxa"/>
          <w:right w:w="28" w:type="dxa"/>
        </w:tblCellMar>
      </w:tblPr>
      <w:tblGrid>
        <w:gridCol w:w="1582"/>
        <w:gridCol w:w="146"/>
        <w:gridCol w:w="196"/>
        <w:gridCol w:w="601"/>
        <w:gridCol w:w="166"/>
        <w:gridCol w:w="146"/>
        <w:gridCol w:w="146"/>
        <w:gridCol w:w="376"/>
        <w:gridCol w:w="277"/>
        <w:gridCol w:w="146"/>
        <w:gridCol w:w="196"/>
        <w:gridCol w:w="601"/>
        <w:gridCol w:w="166"/>
        <w:gridCol w:w="146"/>
        <w:gridCol w:w="146"/>
        <w:gridCol w:w="376"/>
        <w:gridCol w:w="277"/>
        <w:gridCol w:w="146"/>
        <w:gridCol w:w="196"/>
        <w:gridCol w:w="601"/>
        <w:gridCol w:w="166"/>
        <w:gridCol w:w="146"/>
        <w:gridCol w:w="146"/>
        <w:gridCol w:w="376"/>
        <w:gridCol w:w="277"/>
        <w:gridCol w:w="146"/>
        <w:gridCol w:w="196"/>
        <w:gridCol w:w="601"/>
        <w:gridCol w:w="146"/>
        <w:gridCol w:w="146"/>
        <w:gridCol w:w="146"/>
        <w:gridCol w:w="376"/>
        <w:gridCol w:w="704"/>
      </w:tblGrid>
      <w:tr>
        <w:trPr/>
        <w:tc>
          <w:tcPr>
            <w:tcW w:w="15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r>
      <w:tr>
        <w:trPr/>
        <w:tc>
          <w:tcPr>
            <w:tcW w:w="158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85"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For the Three Months Ended June 30,</w:t>
            </w:r>
          </w:p>
        </w:tc>
        <w:tc>
          <w:tcPr>
            <w:tcW w:w="2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65"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For the Six Months Ended June 30,</w:t>
            </w:r>
          </w:p>
        </w:tc>
        <w:tc>
          <w:tcPr>
            <w:tcW w:w="7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8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2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2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2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7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Time Charter Statistics: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0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58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Rates Per Day Worked: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0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158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FSV</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10,995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9,201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11,008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0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158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PSV</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25,500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16,467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25,828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15,790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0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158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Liftboats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37,678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40,232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0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158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Overall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15,588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15,506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15,490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16,735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0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58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Utilization: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0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158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FSV</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w:t>
            </w:r>
          </w:p>
        </w:tc>
        <w:tc>
          <w:tcPr>
            <w:tcW w:w="70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158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PSV</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w:t>
            </w:r>
          </w:p>
        </w:tc>
        <w:tc>
          <w:tcPr>
            <w:tcW w:w="70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158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Liftboats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w:t>
            </w:r>
          </w:p>
        </w:tc>
        <w:tc>
          <w:tcPr>
            <w:tcW w:w="70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158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Overall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w:t>
            </w:r>
          </w:p>
        </w:tc>
        <w:tc>
          <w:tcPr>
            <w:tcW w:w="70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158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Available Days: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0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158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FSV</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0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158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PSV</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0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158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Liftboats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0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158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Overall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959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1,089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1,949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2,259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0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5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0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58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Time charter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8,931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84</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12,365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97</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18,511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89</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28,075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97</w:t>
            </w:r>
          </w:p>
        </w:tc>
        <w:tc>
          <w:tcPr>
            <w:tcW w:w="70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158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Other marine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1,705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w:t>
            </w:r>
          </w:p>
        </w:tc>
        <w:tc>
          <w:tcPr>
            <w:tcW w:w="2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2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2,343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w:t>
            </w:r>
          </w:p>
        </w:tc>
        <w:tc>
          <w:tcPr>
            <w:tcW w:w="2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7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5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10,636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w:t>
            </w:r>
          </w:p>
        </w:tc>
        <w:tc>
          <w:tcPr>
            <w:tcW w:w="2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12,797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w:t>
            </w:r>
          </w:p>
        </w:tc>
        <w:tc>
          <w:tcPr>
            <w:tcW w:w="2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20,854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w:t>
            </w:r>
          </w:p>
        </w:tc>
        <w:tc>
          <w:tcPr>
            <w:tcW w:w="2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28,799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w:t>
            </w:r>
          </w:p>
        </w:tc>
        <w:tc>
          <w:tcPr>
            <w:tcW w:w="7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5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Direct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0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58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Personnel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9,285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9,438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w:t>
            </w:r>
          </w:p>
        </w:tc>
        <w:tc>
          <w:tcPr>
            <w:tcW w:w="70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158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Repairs and maintenance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10,722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w:t>
            </w:r>
          </w:p>
        </w:tc>
        <w:tc>
          <w:tcPr>
            <w:tcW w:w="70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158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Drydocking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w:t>
            </w:r>
          </w:p>
        </w:tc>
        <w:tc>
          <w:tcPr>
            <w:tcW w:w="70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158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Insurance and loss reserves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w:t>
            </w:r>
          </w:p>
        </w:tc>
        <w:tc>
          <w:tcPr>
            <w:tcW w:w="70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158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Fuel, lubes and supplies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w:t>
            </w:r>
          </w:p>
        </w:tc>
        <w:tc>
          <w:tcPr>
            <w:tcW w:w="70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158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953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w:t>
            </w:r>
          </w:p>
        </w:tc>
        <w:tc>
          <w:tcPr>
            <w:tcW w:w="2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1,104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w:t>
            </w:r>
          </w:p>
        </w:tc>
        <w:tc>
          <w:tcPr>
            <w:tcW w:w="2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1,576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w:t>
            </w:r>
          </w:p>
        </w:tc>
        <w:tc>
          <w:tcPr>
            <w:tcW w:w="2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1,985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w:t>
            </w:r>
          </w:p>
        </w:tc>
        <w:tc>
          <w:tcPr>
            <w:tcW w:w="7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5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15,054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142</w:t>
            </w:r>
          </w:p>
        </w:tc>
        <w:tc>
          <w:tcPr>
            <w:tcW w:w="2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14,087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110</w:t>
            </w:r>
          </w:p>
        </w:tc>
        <w:tc>
          <w:tcPr>
            <w:tcW w:w="2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28,683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138</w:t>
            </w:r>
          </w:p>
        </w:tc>
        <w:tc>
          <w:tcPr>
            <w:tcW w:w="2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25,016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w:t>
            </w:r>
          </w:p>
        </w:tc>
        <w:tc>
          <w:tcPr>
            <w:tcW w:w="7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5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Direct Vessel (Loss)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(4,418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w:t>
            </w:r>
          </w:p>
        </w:tc>
        <w:tc>
          <w:tcPr>
            <w:tcW w:w="2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(1,290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w:t>
            </w:r>
          </w:p>
        </w:tc>
        <w:tc>
          <w:tcPr>
            <w:tcW w:w="2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(7,829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w:t>
            </w:r>
          </w:p>
        </w:tc>
        <w:tc>
          <w:tcPr>
            <w:tcW w:w="2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3,783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w:t>
            </w:r>
          </w:p>
        </w:tc>
        <w:tc>
          <w:tcPr>
            <w:tcW w:w="7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spacing w:before="200" w:after="283"/>
        <w:jc w:val="both"/>
        <w:rPr>
          <w:rFonts w:ascii="Times New Roman" w:hAnsi="Times New Roman"/>
          <w:b/>
          <w:color w:val="000000"/>
          <w:sz w:val="24"/>
          <w:u w:val="single"/>
        </w:rPr>
      </w:pPr>
      <w:r>
        <w:rPr>
          <w:rFonts w:ascii="Times New Roman" w:hAnsi="Times New Roman"/>
          <w:b/>
          <w:color w:val="000000"/>
          <w:sz w:val="24"/>
          <w:u w:val="single"/>
        </w:rPr>
        <w:t>Current Year Quarter compared with Prior Year Quarter</w:t>
      </w:r>
    </w:p>
    <w:p>
      <w:pPr>
        <w:pStyle w:val="TextBody"/>
        <w:bidi w:val="0"/>
        <w:spacing w:before="200" w:after="283"/>
        <w:jc w:val="both"/>
        <w:rPr>
          <w:rFonts w:ascii="Times New Roman" w:hAnsi="Times New Roman"/>
          <w:sz w:val="20"/>
        </w:rPr>
      </w:pPr>
      <w:r>
        <w:rPr>
          <w:rFonts w:ascii="Times New Roman" w:hAnsi="Times New Roman"/>
          <w:i/>
          <w:color w:val="000000"/>
          <w:sz w:val="24"/>
        </w:rPr>
        <w:t>Operating Revenues.</w:t>
      </w:r>
      <w:r>
        <w:rPr>
          <w:rFonts w:ascii="Times New Roman" w:hAnsi="Times New Roman"/>
          <w:color w:val="000000"/>
          <w:sz w:val="20"/>
        </w:rPr>
        <w:t xml:space="preserve"> </w:t>
      </w:r>
      <w:r>
        <w:rPr>
          <w:rFonts w:ascii="Times New Roman" w:hAnsi="Times New Roman"/>
          <w:color w:val="000000"/>
          <w:sz w:val="24"/>
        </w:rPr>
        <w:t>Charter revenues were $3.4 million lower in the Current Year Quarter compared with the Prior Year Quarter. Charter revenues were $1.8 million lower due to the disposition of two vessels subsequent to the Prior Year Quarter. Charter revenues were $1.6 million lower for the Regional Core Fleet, which consists of ten vessels, due to lower utilization of 63% in the Current Year Quarter compared to 71% in the Prior Year Quarter and lower average day rates of $15,603 in the Current Year Quarter compared to $17,009 in the Prior Year Quarter. Other marine services were $1.3 million higher primarily due to $1.6 million for recharges of certain insurance and labor costs associated with the current Iran conflict offset by a $0.3 million decrease in catering revenues and management fees. As of June 30, 2026 and 2025, the Company had no vessels cold-stacked in this region.</w:t>
      </w:r>
    </w:p>
    <w:p>
      <w:pPr>
        <w:pStyle w:val="TextBody"/>
        <w:bidi w:val="0"/>
        <w:spacing w:before="200" w:after="283"/>
        <w:jc w:val="both"/>
        <w:rPr>
          <w:rFonts w:ascii="Times New Roman" w:hAnsi="Times New Roman"/>
          <w:sz w:val="20"/>
        </w:rPr>
      </w:pPr>
      <w:r>
        <w:rPr>
          <w:rFonts w:ascii="Times New Roman" w:hAnsi="Times New Roman"/>
          <w:i/>
          <w:color w:val="000000"/>
          <w:sz w:val="24"/>
        </w:rPr>
        <w:t>Direct Operating Expenses.</w:t>
      </w:r>
      <w:r>
        <w:rPr>
          <w:rFonts w:ascii="Times New Roman" w:hAnsi="Times New Roman"/>
          <w:color w:val="000000"/>
          <w:sz w:val="20"/>
        </w:rPr>
        <w:t xml:space="preserve"> </w:t>
      </w:r>
      <w:r>
        <w:rPr>
          <w:rFonts w:ascii="Times New Roman" w:hAnsi="Times New Roman"/>
          <w:color w:val="000000"/>
          <w:sz w:val="24"/>
        </w:rPr>
        <w:t>Direct operating expenses were $1.0 million higher in the Current Year Quarter compared with the Prior Year Quarter. Direct operating expenses were $2.0 million higher for the Regional Core Fleet primarily due to the timing of certain drydocking and repair expenditures, $0.1 million higher due to the repositioning of vessels between geographic regions and $1.1 million lower due to net asset dispositions.</w:t>
      </w:r>
    </w:p>
    <w:p>
      <w:pPr>
        <w:pStyle w:val="TextBody"/>
        <w:bidi w:val="0"/>
        <w:jc w:val="center"/>
        <w:rPr/>
      </w:pPr>
      <w:r>
        <w:rPr/>
        <w:t> </w:t>
      </w:r>
    </w:p>
    <w:p>
      <w:pPr>
        <w:pStyle w:val="TextBody"/>
        <w:bidi w:val="0"/>
        <w:jc w:val="center"/>
        <w:rPr>
          <w:rFonts w:ascii="Times New Roman" w:hAnsi="Times New Roman"/>
          <w:color w:val="000000"/>
          <w:sz w:val="24"/>
        </w:rPr>
      </w:pPr>
      <w:r>
        <w:rPr>
          <w:rFonts w:ascii="Times New Roman" w:hAnsi="Times New Roman"/>
          <w:color w:val="000000"/>
          <w:sz w:val="24"/>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b/>
          <w:color w:val="000000"/>
          <w:sz w:val="24"/>
          <w:u w:val="single"/>
        </w:rPr>
      </w:pPr>
      <w:r>
        <w:rPr>
          <w:rFonts w:ascii="Times New Roman" w:hAnsi="Times New Roman"/>
          <w:b/>
          <w:color w:val="000000"/>
          <w:sz w:val="24"/>
          <w:u w:val="single"/>
        </w:rPr>
        <w:t>Current Year Six Months compared with Prior Year Six Months</w:t>
      </w:r>
    </w:p>
    <w:p>
      <w:pPr>
        <w:pStyle w:val="TextBody"/>
        <w:bidi w:val="0"/>
        <w:spacing w:before="200" w:after="283"/>
        <w:jc w:val="both"/>
        <w:rPr>
          <w:rFonts w:ascii="Times New Roman" w:hAnsi="Times New Roman"/>
          <w:sz w:val="20"/>
        </w:rPr>
      </w:pPr>
      <w:r>
        <w:rPr>
          <w:rFonts w:ascii="Times New Roman" w:hAnsi="Times New Roman"/>
          <w:i/>
          <w:color w:val="000000"/>
          <w:sz w:val="24"/>
        </w:rPr>
        <w:t>Operating Revenues.</w:t>
      </w:r>
      <w:r>
        <w:rPr>
          <w:rFonts w:ascii="Times New Roman" w:hAnsi="Times New Roman"/>
          <w:color w:val="000000"/>
          <w:sz w:val="20"/>
        </w:rPr>
        <w:t xml:space="preserve"> </w:t>
      </w:r>
      <w:r>
        <w:rPr>
          <w:rFonts w:ascii="Times New Roman" w:hAnsi="Times New Roman"/>
          <w:color w:val="000000"/>
          <w:sz w:val="24"/>
        </w:rPr>
        <w:t>Charter revenues were $9.6 million lower in the Current Year Six Months compared with the Prior Year Six Months. Charter revenues were $6.4 million lower for the Regional Core Fleet, which consists of nine vessels, due to lower utilization of 64% in the Current Year Six Months compared to 76% in the Prior Year Six Months and lower average day rates of $16,290 in the Current Year Six Months compared to $18,784 in the Prior Year Six Months. Charter revenues were $4.5 million lower due to the disposition of two vessels subsequent to the Prior Year Six Months and $1.3 million higher due to the repositioning of one vessel into the region subsequent to the Prior Year Six Months. Other marine services were $1.6 million higher primarily due to the recharges of certain insurance and labor costs associated with the current Iran conflict.</w:t>
      </w:r>
    </w:p>
    <w:p>
      <w:pPr>
        <w:pStyle w:val="TextBody"/>
        <w:bidi w:val="0"/>
        <w:spacing w:before="200" w:after="283"/>
        <w:jc w:val="both"/>
        <w:rPr>
          <w:rFonts w:ascii="Times New Roman" w:hAnsi="Times New Roman"/>
          <w:sz w:val="20"/>
        </w:rPr>
      </w:pPr>
      <w:r>
        <w:rPr>
          <w:rFonts w:ascii="Times New Roman" w:hAnsi="Times New Roman"/>
          <w:i/>
          <w:color w:val="000000"/>
          <w:sz w:val="24"/>
        </w:rPr>
        <w:t>Direct Operating Expenses.</w:t>
      </w:r>
      <w:r>
        <w:rPr>
          <w:rFonts w:ascii="Times New Roman" w:hAnsi="Times New Roman"/>
          <w:color w:val="000000"/>
          <w:sz w:val="20"/>
        </w:rPr>
        <w:t xml:space="preserve"> </w:t>
      </w:r>
      <w:r>
        <w:rPr>
          <w:rFonts w:ascii="Times New Roman" w:hAnsi="Times New Roman"/>
          <w:color w:val="000000"/>
          <w:sz w:val="24"/>
        </w:rPr>
        <w:t>Direct operating expenses were $3.7 million higher in the Current Year Six Months compared with the Prior Year Six Months. Direct operating expenses were $6.1 million higher for the Regional Core Fleet primarily due to the timing of certain drydocking and repair expenditures, $0.3 million higher due to the repositioning of vessels between geographic regions and $2.7 million lower due to net asset dispositions.</w:t>
      </w:r>
    </w:p>
    <w:p>
      <w:pPr>
        <w:pStyle w:val="TextBody"/>
        <w:bidi w:val="0"/>
        <w:spacing w:before="200" w:after="283"/>
        <w:jc w:val="both"/>
        <w:rPr>
          <w:rFonts w:ascii="Times New Roman" w:hAnsi="Times New Roman"/>
          <w:b/>
          <w:color w:val="000000"/>
          <w:sz w:val="24"/>
          <w:u w:val="single"/>
        </w:rPr>
      </w:pPr>
      <w:r>
        <w:rPr>
          <w:rFonts w:ascii="Times New Roman" w:hAnsi="Times New Roman"/>
          <w:b/>
          <w:color w:val="000000"/>
          <w:sz w:val="24"/>
          <w:u w:val="single"/>
        </w:rPr>
        <w:t>Other Operating Expenses</w:t>
      </w:r>
    </w:p>
    <w:p>
      <w:pPr>
        <w:pStyle w:val="TextBody"/>
        <w:bidi w:val="0"/>
        <w:spacing w:before="200" w:after="283"/>
        <w:jc w:val="both"/>
        <w:rPr>
          <w:rFonts w:ascii="Times New Roman" w:hAnsi="Times New Roman"/>
          <w:sz w:val="20"/>
        </w:rPr>
      </w:pPr>
      <w:r>
        <w:rPr>
          <w:rFonts w:ascii="Times New Roman" w:hAnsi="Times New Roman"/>
          <w:b/>
          <w:i/>
          <w:color w:val="000000"/>
          <w:sz w:val="24"/>
        </w:rPr>
        <w:t>Lease expense.</w:t>
      </w:r>
      <w:r>
        <w:rPr>
          <w:rFonts w:ascii="Times New Roman" w:hAnsi="Times New Roman"/>
          <w:color w:val="000000"/>
          <w:sz w:val="20"/>
        </w:rPr>
        <w:t xml:space="preserve"> </w:t>
      </w:r>
      <w:r>
        <w:rPr>
          <w:rFonts w:ascii="Times New Roman" w:hAnsi="Times New Roman"/>
          <w:color w:val="000000"/>
          <w:sz w:val="24"/>
        </w:rPr>
        <w:t>Leased-in equipment expense for the Current Year Quarter and Current Year Six Months was nearly flat compared to the Prior Year Quarter and Prior Year Six Months.</w:t>
      </w:r>
    </w:p>
    <w:p>
      <w:pPr>
        <w:pStyle w:val="TextBody"/>
        <w:bidi w:val="0"/>
        <w:spacing w:before="200" w:after="283"/>
        <w:jc w:val="both"/>
        <w:rPr>
          <w:rFonts w:ascii="Times New Roman" w:hAnsi="Times New Roman"/>
          <w:sz w:val="20"/>
        </w:rPr>
      </w:pPr>
      <w:r>
        <w:rPr>
          <w:rFonts w:ascii="Times New Roman" w:hAnsi="Times New Roman"/>
          <w:b/>
          <w:i/>
          <w:color w:val="000000"/>
          <w:sz w:val="24"/>
        </w:rPr>
        <w:t>Administrative and general.</w:t>
      </w:r>
      <w:r>
        <w:rPr>
          <w:rFonts w:ascii="Times New Roman" w:hAnsi="Times New Roman"/>
          <w:color w:val="000000"/>
          <w:sz w:val="20"/>
        </w:rPr>
        <w:t xml:space="preserve"> </w:t>
      </w:r>
      <w:r>
        <w:rPr>
          <w:rFonts w:ascii="Times New Roman" w:hAnsi="Times New Roman"/>
          <w:color w:val="000000"/>
          <w:sz w:val="24"/>
        </w:rPr>
        <w:t>Administrative and general expenses for the Current Year Quarter were $0.3 million higher compared to the Prior Year Quarter primarily due to increases in professional fees offset by decreases in wages and benefits expenses. Administrative and general expenses for the Current Year Six Months were $1.2 million lower compared to the Prior Year Six Months primarily due to decreases in wages and benefits expenses partially offset by increases in professional fees.</w:t>
      </w:r>
    </w:p>
    <w:p>
      <w:pPr>
        <w:pStyle w:val="TextBody"/>
        <w:bidi w:val="0"/>
        <w:spacing w:before="200" w:after="283"/>
        <w:jc w:val="both"/>
        <w:rPr>
          <w:rFonts w:ascii="Times New Roman" w:hAnsi="Times New Roman"/>
          <w:sz w:val="20"/>
        </w:rPr>
      </w:pPr>
      <w:r>
        <w:rPr>
          <w:rFonts w:ascii="Times New Roman" w:hAnsi="Times New Roman"/>
          <w:b/>
          <w:i/>
          <w:color w:val="000000"/>
          <w:sz w:val="24"/>
        </w:rPr>
        <w:t>Depreciation and amortization.</w:t>
      </w:r>
      <w:r>
        <w:rPr>
          <w:rFonts w:ascii="Times New Roman" w:hAnsi="Times New Roman"/>
          <w:color w:val="000000"/>
          <w:sz w:val="20"/>
        </w:rPr>
        <w:t xml:space="preserve"> </w:t>
      </w:r>
      <w:r>
        <w:rPr>
          <w:rFonts w:ascii="Times New Roman" w:hAnsi="Times New Roman"/>
          <w:color w:val="000000"/>
          <w:sz w:val="24"/>
        </w:rPr>
        <w:t>Depreciation and amortization expense for the Current Year Quarter and Current Year Six Months were $1.4 million lower and $3.9 million lower compared to the Prior Year Quarter and Prior Year Six Months due to net fleet changes.</w:t>
      </w:r>
    </w:p>
    <w:p>
      <w:pPr>
        <w:pStyle w:val="TextBody"/>
        <w:bidi w:val="0"/>
        <w:spacing w:before="200" w:after="283"/>
        <w:jc w:val="both"/>
        <w:rPr>
          <w:rFonts w:ascii="Times New Roman" w:hAnsi="Times New Roman"/>
          <w:sz w:val="20"/>
        </w:rPr>
      </w:pPr>
      <w:r>
        <w:rPr>
          <w:rFonts w:ascii="Times New Roman" w:hAnsi="Times New Roman"/>
          <w:b/>
          <w:i/>
          <w:color w:val="000000"/>
          <w:sz w:val="24"/>
        </w:rPr>
        <w:t>Gains (Losses) on Asset Dispositions and Impairments, Net.</w:t>
      </w:r>
      <w:r>
        <w:rPr>
          <w:rFonts w:ascii="Times New Roman" w:hAnsi="Times New Roman"/>
          <w:color w:val="000000"/>
          <w:sz w:val="20"/>
        </w:rPr>
        <w:t xml:space="preserve"> </w:t>
      </w:r>
      <w:r>
        <w:rPr>
          <w:rFonts w:ascii="Times New Roman" w:hAnsi="Times New Roman"/>
          <w:color w:val="000000"/>
          <w:sz w:val="24"/>
        </w:rPr>
        <w:t xml:space="preserve">During the Current Year Quarter, the Company sold two PSVs, two liftboats and one FSV, each </w:t>
      </w:r>
      <w:r>
        <w:rPr>
          <w:rFonts w:ascii="Times New Roman" w:hAnsi="Times New Roman"/>
          <w:color w:val="222222"/>
          <w:sz w:val="24"/>
        </w:rPr>
        <w:t xml:space="preserve">previously classified as held for sale, and other equipment </w:t>
      </w:r>
      <w:r>
        <w:rPr>
          <w:rFonts w:ascii="Times New Roman" w:hAnsi="Times New Roman"/>
          <w:color w:val="000000"/>
          <w:sz w:val="24"/>
        </w:rPr>
        <w:t xml:space="preserve">for net cash proceeds of $44.7 million, after transaction costs, for a gain of $31.3 million. During the Prior Year Quarter, the Company sold one FSV and two PSVs, each </w:t>
      </w:r>
      <w:r>
        <w:rPr>
          <w:rFonts w:ascii="Times New Roman" w:hAnsi="Times New Roman"/>
          <w:color w:val="222222"/>
          <w:sz w:val="24"/>
        </w:rPr>
        <w:t>previously classified as held for sale,</w:t>
      </w:r>
      <w:r>
        <w:rPr>
          <w:rFonts w:ascii="Times New Roman" w:hAnsi="Times New Roman"/>
          <w:color w:val="000000"/>
          <w:sz w:val="20"/>
        </w:rPr>
        <w:t xml:space="preserve"> </w:t>
      </w:r>
      <w:r>
        <w:rPr>
          <w:rFonts w:ascii="Times New Roman" w:hAnsi="Times New Roman"/>
          <w:color w:val="000000"/>
          <w:sz w:val="24"/>
        </w:rPr>
        <w:t xml:space="preserve">and </w:t>
      </w:r>
      <w:r>
        <w:rPr>
          <w:rFonts w:ascii="Times New Roman" w:hAnsi="Times New Roman"/>
          <w:color w:val="222222"/>
          <w:sz w:val="24"/>
        </w:rPr>
        <w:t>other equipment, not</w:t>
      </w:r>
      <w:r>
        <w:rPr>
          <w:rFonts w:ascii="Times New Roman" w:hAnsi="Times New Roman"/>
          <w:color w:val="000000"/>
          <w:sz w:val="20"/>
        </w:rPr>
        <w:t xml:space="preserve"> </w:t>
      </w:r>
      <w:r>
        <w:rPr>
          <w:rFonts w:ascii="Times New Roman" w:hAnsi="Times New Roman"/>
          <w:color w:val="222222"/>
          <w:sz w:val="24"/>
        </w:rPr>
        <w:t xml:space="preserve">previously classified as held for sale, </w:t>
      </w:r>
      <w:r>
        <w:rPr>
          <w:rFonts w:ascii="Times New Roman" w:hAnsi="Times New Roman"/>
          <w:color w:val="000000"/>
          <w:sz w:val="24"/>
        </w:rPr>
        <w:t>for net cash proceeds of $31.6 million, after transaction costs, for a gain of $19.2 million.</w:t>
      </w:r>
    </w:p>
    <w:p>
      <w:pPr>
        <w:pStyle w:val="TextBody"/>
        <w:bidi w:val="0"/>
        <w:spacing w:before="200" w:after="200"/>
        <w:jc w:val="both"/>
        <w:rPr>
          <w:rFonts w:ascii="Times New Roman" w:hAnsi="Times New Roman"/>
          <w:color w:val="000000"/>
          <w:sz w:val="24"/>
        </w:rPr>
      </w:pPr>
      <w:r>
        <w:rPr>
          <w:rFonts w:ascii="Times New Roman" w:hAnsi="Times New Roman"/>
          <w:color w:val="000000"/>
          <w:sz w:val="24"/>
        </w:rPr>
        <w:t>During the Current Year Six Months, the Company sold three PSVs, two liftboats and one FSV, previously classified as held for sale, and other equipment for net cash proceeds of $57.5 million, after transaction costs, and a gain of $38.8 million. During the Prior Year Six Months, the Company sold one FSV and two PSVs, each previously classified as held for sale, as well as one liftboat and other equipment, each not previously classified as held for sale, for net cash proceeds of $40.1 million, after transaction costs, and a gain of $25.0 million.</w:t>
      </w:r>
    </w:p>
    <w:p>
      <w:pPr>
        <w:pStyle w:val="TextBody"/>
        <w:bidi w:val="0"/>
        <w:jc w:val="center"/>
        <w:rPr/>
      </w:pPr>
      <w:r>
        <w:rPr/>
        <w:t> </w:t>
      </w:r>
    </w:p>
    <w:p>
      <w:pPr>
        <w:pStyle w:val="TextBody"/>
        <w:bidi w:val="0"/>
        <w:jc w:val="center"/>
        <w:rPr>
          <w:rFonts w:ascii="Times New Roman" w:hAnsi="Times New Roman"/>
          <w:color w:val="000000"/>
          <w:sz w:val="24"/>
        </w:rPr>
      </w:pPr>
      <w:r>
        <w:rPr>
          <w:rFonts w:ascii="Times New Roman" w:hAnsi="Times New Roman"/>
          <w:color w:val="000000"/>
          <w:sz w:val="24"/>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b/>
          <w:color w:val="000000"/>
          <w:sz w:val="24"/>
        </w:rPr>
      </w:pPr>
      <w:r>
        <w:rPr>
          <w:rFonts w:ascii="Times New Roman" w:hAnsi="Times New Roman"/>
          <w:b/>
          <w:color w:val="000000"/>
          <w:sz w:val="24"/>
        </w:rPr>
        <w:t>Other Income (Expense), Net</w:t>
      </w:r>
    </w:p>
    <w:p>
      <w:pPr>
        <w:pStyle w:val="TextBody"/>
        <w:bidi w:val="0"/>
        <w:spacing w:before="200" w:after="200"/>
        <w:jc w:val="both"/>
        <w:rPr>
          <w:rFonts w:ascii="Times New Roman" w:hAnsi="Times New Roman"/>
          <w:color w:val="000000"/>
          <w:sz w:val="24"/>
        </w:rPr>
      </w:pPr>
      <w:r>
        <w:rPr>
          <w:rFonts w:ascii="Times New Roman" w:hAnsi="Times New Roman"/>
          <w:color w:val="000000"/>
          <w:sz w:val="24"/>
        </w:rPr>
        <w:t>For the three and six months ended June 30, 2026 and 2025, the Company’s other income (expense) was as follows (in thousands):</w:t>
      </w:r>
    </w:p>
    <w:tbl>
      <w:tblPr>
        <w:tblW w:w="7862" w:type="dxa"/>
        <w:jc w:val="left"/>
        <w:tblInd w:w="0" w:type="dxa"/>
        <w:tblLayout w:type="fixed"/>
        <w:tblCellMar>
          <w:top w:w="28" w:type="dxa"/>
          <w:left w:w="28" w:type="dxa"/>
          <w:bottom w:w="28" w:type="dxa"/>
          <w:right w:w="28" w:type="dxa"/>
        </w:tblCellMar>
      </w:tblPr>
      <w:tblGrid>
        <w:gridCol w:w="2316"/>
        <w:gridCol w:w="146"/>
        <w:gridCol w:w="247"/>
        <w:gridCol w:w="721"/>
        <w:gridCol w:w="209"/>
        <w:gridCol w:w="184"/>
        <w:gridCol w:w="247"/>
        <w:gridCol w:w="835"/>
        <w:gridCol w:w="166"/>
        <w:gridCol w:w="146"/>
        <w:gridCol w:w="216"/>
        <w:gridCol w:w="729"/>
        <w:gridCol w:w="183"/>
        <w:gridCol w:w="161"/>
        <w:gridCol w:w="216"/>
        <w:gridCol w:w="729"/>
        <w:gridCol w:w="411"/>
      </w:tblGrid>
      <w:tr>
        <w:trPr/>
        <w:tc>
          <w:tcPr>
            <w:tcW w:w="2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Six Months Ended June 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2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Income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3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443</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934</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808</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3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(8,244</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(16,483</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(18,430</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23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Derivative gains,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212</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3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Foreign currency losses,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(981</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(503</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(3,315</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23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Other,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w:t>
            </w:r>
          </w:p>
        </w:tc>
        <w:tc>
          <w:tcPr>
            <w:tcW w:w="2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31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(8,778</w:t>
            </w:r>
          </w:p>
        </w:tc>
        <w:tc>
          <w:tcPr>
            <w:tcW w:w="2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(10,504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(16,048</w:t>
            </w:r>
          </w:p>
        </w:tc>
        <w:tc>
          <w:tcPr>
            <w:tcW w:w="1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(20,725</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spacing w:before="200" w:after="283"/>
        <w:jc w:val="both"/>
        <w:rPr>
          <w:rFonts w:ascii="Times New Roman" w:hAnsi="Times New Roman"/>
          <w:sz w:val="20"/>
        </w:rPr>
      </w:pPr>
      <w:r>
        <w:rPr>
          <w:rFonts w:ascii="Times New Roman" w:hAnsi="Times New Roman"/>
          <w:b/>
          <w:i/>
          <w:color w:val="000000"/>
          <w:sz w:val="24"/>
        </w:rPr>
        <w:t>Interest income.</w:t>
      </w:r>
      <w:r>
        <w:rPr>
          <w:rFonts w:ascii="Times New Roman" w:hAnsi="Times New Roman"/>
          <w:color w:val="000000"/>
          <w:sz w:val="20"/>
        </w:rPr>
        <w:t xml:space="preserve"> </w:t>
      </w:r>
      <w:r>
        <w:rPr>
          <w:rFonts w:ascii="Times New Roman" w:hAnsi="Times New Roman"/>
          <w:color w:val="000000"/>
          <w:sz w:val="24"/>
        </w:rPr>
        <w:t>Interest income for the Current Year Quarter and Current Year Six Months compared with the Prior Year Quarter and Prior Year Six Months was nearly flat</w:t>
      </w:r>
      <w:r>
        <w:rPr>
          <w:rFonts w:ascii="Times New Roman" w:hAnsi="Times New Roman"/>
          <w:color w:val="222222"/>
          <w:sz w:val="24"/>
        </w:rPr>
        <w:t>.</w:t>
      </w:r>
    </w:p>
    <w:p>
      <w:pPr>
        <w:pStyle w:val="TextBody"/>
        <w:bidi w:val="0"/>
        <w:spacing w:before="200" w:after="283"/>
        <w:jc w:val="both"/>
        <w:rPr>
          <w:rFonts w:ascii="Times New Roman" w:hAnsi="Times New Roman"/>
          <w:sz w:val="20"/>
        </w:rPr>
      </w:pPr>
      <w:r>
        <w:rPr>
          <w:rFonts w:ascii="Times New Roman" w:hAnsi="Times New Roman"/>
          <w:b/>
          <w:i/>
          <w:color w:val="000000"/>
          <w:sz w:val="24"/>
        </w:rPr>
        <w:t>Interest expense.</w:t>
      </w:r>
      <w:r>
        <w:rPr>
          <w:rFonts w:ascii="Times New Roman" w:hAnsi="Times New Roman"/>
          <w:color w:val="000000"/>
          <w:sz w:val="20"/>
        </w:rPr>
        <w:t xml:space="preserve"> </w:t>
      </w:r>
      <w:r>
        <w:rPr>
          <w:rFonts w:ascii="Times New Roman" w:hAnsi="Times New Roman"/>
          <w:color w:val="000000"/>
          <w:sz w:val="24"/>
        </w:rPr>
        <w:t>Interest expense was lower in the Current Year Quarter and Current Year Six Months compared with the Prior Year Quarter and Prior Year Six Months primarily due to lower outstanding debt obligations on the 2024 SMFH Credit Facility (which bears interest at a fixed rate of 10.30% per annum).</w:t>
      </w:r>
    </w:p>
    <w:p>
      <w:pPr>
        <w:pStyle w:val="TextBody"/>
        <w:bidi w:val="0"/>
        <w:spacing w:before="200" w:after="283"/>
        <w:jc w:val="both"/>
        <w:rPr>
          <w:rFonts w:ascii="Times New Roman" w:hAnsi="Times New Roman"/>
          <w:sz w:val="20"/>
        </w:rPr>
      </w:pPr>
      <w:r>
        <w:rPr>
          <w:rFonts w:ascii="Times New Roman" w:hAnsi="Times New Roman"/>
          <w:b/>
          <w:i/>
          <w:color w:val="000000"/>
          <w:sz w:val="24"/>
        </w:rPr>
        <w:t>Derivative gains (losses), net.</w:t>
      </w:r>
      <w:r>
        <w:rPr>
          <w:rFonts w:ascii="Times New Roman" w:hAnsi="Times New Roman"/>
          <w:color w:val="000000"/>
          <w:sz w:val="20"/>
        </w:rPr>
        <w:t xml:space="preserve"> </w:t>
      </w:r>
      <w:r>
        <w:rPr>
          <w:rFonts w:ascii="Times New Roman" w:hAnsi="Times New Roman"/>
          <w:color w:val="000000"/>
          <w:sz w:val="24"/>
        </w:rPr>
        <w:t>Net derivative gains for the Current Year Quarter and Current Year Six Months compared with the Prior Year Quarter and Prior Year Six Months decreased due to the Company no longer having an open forward currency exchange contract.</w:t>
      </w:r>
    </w:p>
    <w:p>
      <w:pPr>
        <w:pStyle w:val="TextBody"/>
        <w:bidi w:val="0"/>
        <w:spacing w:before="200" w:after="283"/>
        <w:jc w:val="both"/>
        <w:rPr>
          <w:rFonts w:ascii="Times New Roman" w:hAnsi="Times New Roman"/>
          <w:sz w:val="20"/>
        </w:rPr>
      </w:pPr>
      <w:r>
        <w:rPr>
          <w:rFonts w:ascii="Times New Roman" w:hAnsi="Times New Roman"/>
          <w:b/>
          <w:i/>
          <w:color w:val="000000"/>
          <w:sz w:val="24"/>
        </w:rPr>
        <w:t>Foreign currency losses, net.</w:t>
      </w:r>
      <w:r>
        <w:rPr>
          <w:rFonts w:ascii="Times New Roman" w:hAnsi="Times New Roman"/>
          <w:color w:val="000000"/>
          <w:sz w:val="20"/>
        </w:rPr>
        <w:t xml:space="preserve"> </w:t>
      </w:r>
      <w:r>
        <w:rPr>
          <w:rFonts w:ascii="Times New Roman" w:hAnsi="Times New Roman"/>
          <w:color w:val="000000"/>
          <w:sz w:val="24"/>
        </w:rPr>
        <w:t>Net foreign currency losses for the Current Year Quarter and Current Year Six Months compared with the Prior Year Quarter and Prior Year Six Months decreased primarily due to the strengthening of the U.S. dollar in relation to the pound sterling.</w:t>
      </w:r>
    </w:p>
    <w:p>
      <w:pPr>
        <w:pStyle w:val="TextBody"/>
        <w:bidi w:val="0"/>
        <w:spacing w:before="200" w:after="283"/>
        <w:jc w:val="left"/>
        <w:rPr>
          <w:rFonts w:ascii="Times New Roman" w:hAnsi="Times New Roman"/>
          <w:b/>
          <w:color w:val="000000"/>
          <w:sz w:val="24"/>
        </w:rPr>
      </w:pPr>
      <w:r>
        <w:rPr>
          <w:rFonts w:ascii="Times New Roman" w:hAnsi="Times New Roman"/>
          <w:b/>
          <w:color w:val="000000"/>
          <w:sz w:val="24"/>
        </w:rPr>
        <w:t>Income Tax Expense</w:t>
      </w:r>
    </w:p>
    <w:p>
      <w:pPr>
        <w:pStyle w:val="TextBody"/>
        <w:bidi w:val="0"/>
        <w:spacing w:before="200" w:after="283"/>
        <w:jc w:val="both"/>
        <w:rPr>
          <w:rFonts w:ascii="Times New Roman" w:hAnsi="Times New Roman"/>
          <w:color w:val="000000"/>
          <w:sz w:val="24"/>
        </w:rPr>
      </w:pPr>
      <w:r>
        <w:rPr>
          <w:rFonts w:ascii="Times New Roman" w:hAnsi="Times New Roman"/>
          <w:color w:val="000000"/>
          <w:sz w:val="24"/>
        </w:rPr>
        <w:t>During the six months ended June 30, 2026, the Company’s effective income tax rate of 95.4% was primarily due to foreign taxes paid that are not creditable against U.S. income taxes and foreign losses for which there is no benefit in the U.S. for income tax purposes.</w:t>
      </w:r>
    </w:p>
    <w:p>
      <w:pPr>
        <w:pStyle w:val="TextBody"/>
        <w:bidi w:val="0"/>
        <w:spacing w:before="200" w:after="283"/>
        <w:jc w:val="both"/>
        <w:rPr>
          <w:rFonts w:ascii="Times New Roman" w:hAnsi="Times New Roman"/>
          <w:b/>
          <w:color w:val="000000"/>
          <w:sz w:val="24"/>
        </w:rPr>
      </w:pPr>
      <w:r>
        <w:rPr>
          <w:rFonts w:ascii="Times New Roman" w:hAnsi="Times New Roman"/>
          <w:b/>
          <w:color w:val="000000"/>
          <w:sz w:val="24"/>
        </w:rPr>
        <w:t>Equity in Earnings of 50% or Less Owned Companies</w:t>
      </w:r>
    </w:p>
    <w:p>
      <w:pPr>
        <w:pStyle w:val="TextBody"/>
        <w:bidi w:val="0"/>
        <w:spacing w:before="200" w:after="200"/>
        <w:jc w:val="both"/>
        <w:rPr>
          <w:rFonts w:ascii="Times New Roman" w:hAnsi="Times New Roman"/>
          <w:color w:val="000000"/>
          <w:sz w:val="24"/>
        </w:rPr>
      </w:pPr>
      <w:r>
        <w:rPr>
          <w:rFonts w:ascii="Times New Roman" w:hAnsi="Times New Roman"/>
          <w:color w:val="000000"/>
          <w:sz w:val="24"/>
        </w:rPr>
        <w:t>Equity in earnings of 50% or less owned companies for the Current Year Quarter compared with the Prior Year Quarter were $0.2 million lower and earnings for the Current Year Six Months compared with the Prior Year Six Months were $1.0 million lower due to the following changes in equity earnings (in thousands):</w:t>
      </w:r>
    </w:p>
    <w:tbl>
      <w:tblPr>
        <w:tblW w:w="7246" w:type="dxa"/>
        <w:jc w:val="left"/>
        <w:tblInd w:w="0" w:type="dxa"/>
        <w:tblLayout w:type="fixed"/>
        <w:tblCellMar>
          <w:top w:w="28" w:type="dxa"/>
          <w:left w:w="28" w:type="dxa"/>
          <w:bottom w:w="28" w:type="dxa"/>
          <w:right w:w="28" w:type="dxa"/>
        </w:tblCellMar>
      </w:tblPr>
      <w:tblGrid>
        <w:gridCol w:w="1921"/>
        <w:gridCol w:w="146"/>
        <w:gridCol w:w="316"/>
        <w:gridCol w:w="606"/>
        <w:gridCol w:w="267"/>
        <w:gridCol w:w="235"/>
        <w:gridCol w:w="316"/>
        <w:gridCol w:w="703"/>
        <w:gridCol w:w="166"/>
        <w:gridCol w:w="146"/>
        <w:gridCol w:w="265"/>
        <w:gridCol w:w="590"/>
        <w:gridCol w:w="224"/>
        <w:gridCol w:w="197"/>
        <w:gridCol w:w="265"/>
        <w:gridCol w:w="692"/>
        <w:gridCol w:w="191"/>
      </w:tblGrid>
      <w:tr>
        <w:trPr/>
        <w:tc>
          <w:tcPr>
            <w:tcW w:w="19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9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Six Months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2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SEACOR Marine Arabia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118</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254</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1,064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w:t>
            </w:r>
          </w:p>
        </w:tc>
        <w:tc>
          <w:tcPr>
            <w:tcW w:w="2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(148</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92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w:t>
            </w:r>
          </w:p>
        </w:tc>
        <w:tc>
          <w:tcPr>
            <w:tcW w:w="2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106</w:t>
            </w:r>
          </w:p>
        </w:tc>
        <w:tc>
          <w:tcPr>
            <w:tcW w:w="2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1,107</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center"/>
        <w:rPr/>
      </w:pPr>
      <w:r>
        <w:rPr/>
        <w:t> </w:t>
      </w:r>
    </w:p>
    <w:p>
      <w:pPr>
        <w:pStyle w:val="TextBody"/>
        <w:bidi w:val="0"/>
        <w:jc w:val="center"/>
        <w:rPr>
          <w:rFonts w:ascii="Times New Roman" w:hAnsi="Times New Roman"/>
          <w:color w:val="000000"/>
          <w:sz w:val="24"/>
        </w:rPr>
      </w:pPr>
      <w:r>
        <w:rPr>
          <w:rFonts w:ascii="Times New Roman" w:hAnsi="Times New Roman"/>
          <w:color w:val="000000"/>
          <w:sz w:val="24"/>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b/>
          <w:color w:val="000000"/>
          <w:sz w:val="24"/>
        </w:rPr>
      </w:pPr>
      <w:r>
        <w:rPr>
          <w:rFonts w:ascii="Times New Roman" w:hAnsi="Times New Roman"/>
          <w:b/>
          <w:color w:val="000000"/>
          <w:sz w:val="24"/>
        </w:rPr>
        <w:t>Liquidity and Capital Resources</w:t>
      </w:r>
    </w:p>
    <w:p>
      <w:pPr>
        <w:pStyle w:val="TextBody"/>
        <w:bidi w:val="0"/>
        <w:spacing w:before="200" w:after="283"/>
        <w:jc w:val="both"/>
        <w:rPr>
          <w:rFonts w:ascii="Times New Roman" w:hAnsi="Times New Roman"/>
          <w:b/>
          <w:color w:val="000000"/>
          <w:sz w:val="24"/>
        </w:rPr>
      </w:pPr>
      <w:r>
        <w:rPr>
          <w:rFonts w:ascii="Times New Roman" w:hAnsi="Times New Roman"/>
          <w:b/>
          <w:color w:val="000000"/>
          <w:sz w:val="24"/>
        </w:rPr>
        <w:t>General</w:t>
      </w:r>
    </w:p>
    <w:p>
      <w:pPr>
        <w:pStyle w:val="TextBody"/>
        <w:bidi w:val="0"/>
        <w:spacing w:before="200" w:after="283"/>
        <w:jc w:val="both"/>
        <w:rPr>
          <w:rFonts w:ascii="Times New Roman" w:hAnsi="Times New Roman"/>
          <w:color w:val="000000"/>
          <w:sz w:val="24"/>
        </w:rPr>
      </w:pPr>
      <w:r>
        <w:rPr>
          <w:rFonts w:ascii="Times New Roman" w:hAnsi="Times New Roman"/>
          <w:color w:val="000000"/>
          <w:sz w:val="24"/>
        </w:rPr>
        <w:t>The Company’s ongoing liquidity requirements arise primarily from working capital needs, capital commitments and its obligations to service outstanding debt and comply with covenants under its 2024 SMFH Credit Facility. The Company may use its liquidity to fund capital expenditures, make acquisitions or to make other investments. Sources of liquidity are cash balances, cash flows from operations and sales under the Company’s at-the-market offering program entered into on February 7, 2025 (the “ATM Program”), which has approximately $25.0 million of remaining sales capacity as of June 30, 2026. From time to time, the Company may secure additional liquidity through asset sales or the issuance of debt, shares of Common Stock or common stock of its subsidiaries, preferred stock or a combination thereof.</w:t>
      </w:r>
    </w:p>
    <w:p>
      <w:pPr>
        <w:pStyle w:val="TextBody"/>
        <w:bidi w:val="0"/>
        <w:spacing w:before="200" w:after="283"/>
        <w:jc w:val="both"/>
        <w:rPr>
          <w:rFonts w:ascii="Times New Roman" w:hAnsi="Times New Roman"/>
          <w:sz w:val="20"/>
        </w:rPr>
      </w:pPr>
      <w:r>
        <w:rPr>
          <w:rFonts w:ascii="Times New Roman" w:hAnsi="Times New Roman"/>
          <w:color w:val="000000"/>
          <w:sz w:val="24"/>
        </w:rPr>
        <w:t>As of June 30, 2026 and June 30, 2025, the Company held balances of cash, cash equivalents and restricted cash totaling $93.0 million and $51.6 million, respectively.</w:t>
      </w:r>
      <w:r>
        <w:rPr>
          <w:rFonts w:ascii="Times New Roman" w:hAnsi="Times New Roman"/>
          <w:color w:val="000000"/>
          <w:sz w:val="20"/>
        </w:rPr>
        <w:t xml:space="preserve"> </w:t>
      </w:r>
    </w:p>
    <w:p>
      <w:pPr>
        <w:pStyle w:val="TextBody"/>
        <w:bidi w:val="0"/>
        <w:spacing w:before="200" w:after="200"/>
        <w:jc w:val="both"/>
        <w:rPr>
          <w:rFonts w:ascii="Times New Roman" w:hAnsi="Times New Roman"/>
          <w:color w:val="000000"/>
          <w:sz w:val="24"/>
        </w:rPr>
      </w:pPr>
      <w:r>
        <w:rPr>
          <w:rFonts w:ascii="Times New Roman" w:hAnsi="Times New Roman"/>
          <w:color w:val="000000"/>
          <w:sz w:val="24"/>
        </w:rPr>
        <w:t>As of June 30, 2026, the Company had outstanding debt of $320.2 million, net of debt discount and issue costs. The Company’s contractual long-term debt maturities as of June 30, 2026, are as follows (in thousands):</w:t>
      </w:r>
    </w:p>
    <w:tbl>
      <w:tblPr>
        <w:tblW w:w="3190" w:type="dxa"/>
        <w:jc w:val="left"/>
        <w:tblInd w:w="0" w:type="dxa"/>
        <w:tblLayout w:type="fixed"/>
        <w:tblCellMar>
          <w:top w:w="28" w:type="dxa"/>
          <w:left w:w="28" w:type="dxa"/>
          <w:bottom w:w="28" w:type="dxa"/>
          <w:right w:w="28" w:type="dxa"/>
        </w:tblCellMar>
      </w:tblPr>
      <w:tblGrid>
        <w:gridCol w:w="1966"/>
        <w:gridCol w:w="146"/>
        <w:gridCol w:w="196"/>
        <w:gridCol w:w="691"/>
        <w:gridCol w:w="191"/>
      </w:tblGrid>
      <w:tr>
        <w:trPr/>
        <w:tc>
          <w:tcPr>
            <w:tcW w:w="19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9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Actual</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Remainder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15,000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31,397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31,397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246,106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Years subsequent to 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96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323,900</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both"/>
        <w:rPr>
          <w:rFonts w:ascii="Times New Roman" w:hAnsi="Times New Roman"/>
          <w:color w:val="000000"/>
          <w:sz w:val="24"/>
        </w:rPr>
      </w:pPr>
      <w:r>
        <w:rPr>
          <w:rFonts w:ascii="Times New Roman" w:hAnsi="Times New Roman"/>
          <w:color w:val="000000"/>
          <w:sz w:val="24"/>
        </w:rPr>
        <w:t>As of June 30, 2026, the Company had unfunded capital commitments of $39.4 million consisting of $37.5 million in respect of the construction of two PSVs, $1.7 million in respect of two hybrid battery power systems and $0.2 million for miscellaneous vessel equipment. Of the unfunded capital commitments, $21.2 million is payable during 2026, $16.5 million is payable during 2027 and the remainder is payable during 2028. As of June 30, 2026, $37.0 million remained in a restricted account designated to make payments on the construction of the two PSVs, of which $11.3 million were deposited during the first quarter of 2026 from the sale of one PSV, $23.8 million was deposited during the second quarter of 2026 from the sale of two PSVs and one FSV, and the remainder from prior vessel sales, all in accordance with the terms of the 2024 SMFH Credit Facility as previously described in the 2025 Annual Report. The funds deposited in the restricted account will be used to fully fund the remaining payments for the construction of the two PSVs, without the need for any additional proceeds from Tranche B of the 2024 SMFH Credit Facility, of which $16.4 million was drawn as of June 30, 2026. During the second quarter of 2026, the Company exercised its right to cancel the remaining borrowing capacity of $24.6 million of this tranche in accordance with the terms of the 2024 SMFH Credit Facility.</w:t>
      </w:r>
    </w:p>
    <w:p>
      <w:pPr>
        <w:pStyle w:val="TextBody"/>
        <w:bidi w:val="0"/>
        <w:spacing w:before="200" w:after="283"/>
        <w:jc w:val="both"/>
        <w:rPr>
          <w:rFonts w:ascii="Times New Roman" w:hAnsi="Times New Roman"/>
          <w:b/>
          <w:color w:val="000000"/>
          <w:sz w:val="24"/>
        </w:rPr>
      </w:pPr>
      <w:r>
        <w:rPr>
          <w:rFonts w:ascii="Times New Roman" w:hAnsi="Times New Roman"/>
          <w:b/>
          <w:color w:val="000000"/>
          <w:sz w:val="24"/>
        </w:rPr>
        <w:t>Summary of Cash Flows</w:t>
      </w:r>
    </w:p>
    <w:p>
      <w:pPr>
        <w:pStyle w:val="TextBody"/>
        <w:bidi w:val="0"/>
        <w:spacing w:before="200" w:after="200"/>
        <w:jc w:val="both"/>
        <w:rPr>
          <w:rFonts w:ascii="Times New Roman" w:hAnsi="Times New Roman"/>
          <w:color w:val="000000"/>
          <w:sz w:val="24"/>
        </w:rPr>
      </w:pPr>
      <w:r>
        <w:rPr>
          <w:rFonts w:ascii="Times New Roman" w:hAnsi="Times New Roman"/>
          <w:color w:val="000000"/>
          <w:sz w:val="24"/>
        </w:rPr>
        <w:t>The following is a summary of the Company’s cash flows for the six months ended June 30, 2026 and 2025 (in thousands):</w:t>
      </w:r>
    </w:p>
    <w:tbl>
      <w:tblPr>
        <w:tblW w:w="8962" w:type="dxa"/>
        <w:jc w:val="left"/>
        <w:tblInd w:w="0" w:type="dxa"/>
        <w:tblLayout w:type="fixed"/>
        <w:tblCellMar>
          <w:top w:w="28" w:type="dxa"/>
          <w:left w:w="28" w:type="dxa"/>
          <w:bottom w:w="28" w:type="dxa"/>
          <w:right w:w="28" w:type="dxa"/>
        </w:tblCellMar>
      </w:tblPr>
      <w:tblGrid>
        <w:gridCol w:w="6171"/>
        <w:gridCol w:w="146"/>
        <w:gridCol w:w="216"/>
        <w:gridCol w:w="729"/>
        <w:gridCol w:w="183"/>
        <w:gridCol w:w="161"/>
        <w:gridCol w:w="216"/>
        <w:gridCol w:w="729"/>
        <w:gridCol w:w="411"/>
      </w:tblGrid>
      <w:tr>
        <w:trPr/>
        <w:tc>
          <w:tcPr>
            <w:tcW w:w="61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61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Six Months Ended June 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1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flows provided by or (used 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1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(28,311</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(13,543</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61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44,998</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9,056</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(16,764</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(20,098</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61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Effects of Exchange Rate Changes on Cash, Restricted 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Change in Cash, Restricted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29"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w:t>
            </w:r>
          </w:p>
        </w:tc>
        <w:tc>
          <w:tcPr>
            <w:tcW w:w="183"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29"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(24,585</w:t>
            </w:r>
          </w:p>
        </w:tc>
        <w:tc>
          <w:tcPr>
            <w:tcW w:w="4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4"/>
        </w:rPr>
      </w:pPr>
      <w:r>
        <w:rPr>
          <w:rFonts w:ascii="Times New Roman" w:hAnsi="Times New Roman"/>
          <w:color w:val="000000"/>
          <w:sz w:val="24"/>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b/>
          <w:color w:val="000000"/>
          <w:sz w:val="24"/>
        </w:rPr>
      </w:pPr>
      <w:r>
        <w:rPr>
          <w:rFonts w:ascii="Times New Roman" w:hAnsi="Times New Roman"/>
          <w:b/>
          <w:color w:val="000000"/>
          <w:sz w:val="24"/>
        </w:rPr>
        <w:t>Operating Activities</w:t>
      </w:r>
    </w:p>
    <w:p>
      <w:pPr>
        <w:pStyle w:val="TextBody"/>
        <w:bidi w:val="0"/>
        <w:spacing w:before="200" w:after="200"/>
        <w:jc w:val="both"/>
        <w:rPr>
          <w:rFonts w:ascii="Times New Roman" w:hAnsi="Times New Roman"/>
          <w:color w:val="000000"/>
          <w:sz w:val="24"/>
        </w:rPr>
      </w:pPr>
      <w:r>
        <w:rPr>
          <w:rFonts w:ascii="Times New Roman" w:hAnsi="Times New Roman"/>
          <w:color w:val="000000"/>
          <w:sz w:val="24"/>
        </w:rPr>
        <w:t>Cash flows used in operating activities was $28.3 million in the Current Year Six Months, an increase of $14.8 million compared to $13.5 million in the Prior Year Six Months due to changes in working capital and a decrease in days worked primarily due to net fleet changes. The components of cash flows provided by and/or used in operating activities during the Current Year Six Months and Prior Year Six Months were as follows (in thousands):</w:t>
      </w:r>
    </w:p>
    <w:tbl>
      <w:tblPr>
        <w:tblW w:w="9807" w:type="dxa"/>
        <w:jc w:val="left"/>
        <w:tblInd w:w="0" w:type="dxa"/>
        <w:tblLayout w:type="fixed"/>
        <w:tblCellMar>
          <w:top w:w="28" w:type="dxa"/>
          <w:left w:w="28" w:type="dxa"/>
          <w:bottom w:w="28" w:type="dxa"/>
          <w:right w:w="28" w:type="dxa"/>
        </w:tblCellMar>
      </w:tblPr>
      <w:tblGrid>
        <w:gridCol w:w="7036"/>
        <w:gridCol w:w="146"/>
        <w:gridCol w:w="216"/>
        <w:gridCol w:w="729"/>
        <w:gridCol w:w="183"/>
        <w:gridCol w:w="161"/>
        <w:gridCol w:w="216"/>
        <w:gridCol w:w="729"/>
        <w:gridCol w:w="391"/>
      </w:tblGrid>
      <w:tr>
        <w:trPr/>
        <w:tc>
          <w:tcPr>
            <w:tcW w:w="7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70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Six Months Ended 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0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0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DVP: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0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Americas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3,879</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5,496</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Africa and Europe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18,605</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15,609</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Middle East and Asia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(7,829</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3,783</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leased-in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83</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70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Administrative and general (excluding provisions for bad debts and amortization of share awards)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(19,661</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(20,967</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70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net (excluding non-cash losses)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Dividends received from 50% or less owned companies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3,199</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3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(4,919</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6,756</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Changes in operating assets and liabilities before interest and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(8,503</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(2,325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70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settlements on derivative transactions,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70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Interest paid, excluding capitalized interest </w:t>
            </w:r>
            <w:r>
              <w:rPr>
                <w:rFonts w:ascii="Times New Roman" w:hAnsi="Times New Roman"/>
                <w:color w:val="000000"/>
                <w:sz w:val="12"/>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(15,925</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(19,504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70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Interest received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934</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808</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Income taxes refunded,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102</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1,095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cash flows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(28,311</w:t>
            </w:r>
          </w:p>
        </w:tc>
        <w:tc>
          <w:tcPr>
            <w:tcW w:w="1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(13,543</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pBdr>
          <w:bottom w:val="single" w:sz="4" w:space="1" w:color="000000"/>
        </w:pBdr>
        <w:bidi w:val="0"/>
        <w:jc w:val="both"/>
        <w:rPr/>
      </w:pPr>
      <w:r>
        <w:rPr/>
        <w:t> </w:t>
      </w:r>
    </w:p>
    <w:p>
      <w:pPr>
        <w:pStyle w:val="TextBody"/>
        <w:bidi w:val="0"/>
        <w:spacing w:before="40" w:after="283"/>
        <w:jc w:val="both"/>
        <w:rPr>
          <w:rFonts w:ascii="Times New Roman" w:hAnsi="Times New Roman"/>
          <w:color w:val="000000"/>
          <w:sz w:val="18"/>
        </w:rPr>
      </w:pPr>
      <w:r>
        <w:rPr>
          <w:rFonts w:ascii="Times New Roman" w:hAnsi="Times New Roman"/>
          <w:color w:val="000000"/>
          <w:sz w:val="18"/>
        </w:rPr>
        <w:t>(1)</w:t>
      </w:r>
    </w:p>
    <w:p>
      <w:pPr>
        <w:pStyle w:val="TextBody"/>
        <w:bidi w:val="0"/>
        <w:spacing w:before="40" w:after="283"/>
        <w:jc w:val="both"/>
        <w:rPr>
          <w:rFonts w:ascii="Times New Roman" w:hAnsi="Times New Roman"/>
          <w:color w:val="000000"/>
          <w:sz w:val="16"/>
        </w:rPr>
      </w:pPr>
      <w:r>
        <w:rPr>
          <w:rFonts w:ascii="Times New Roman" w:hAnsi="Times New Roman"/>
          <w:color w:val="000000"/>
          <w:sz w:val="16"/>
        </w:rPr>
        <w:t>During the Current Year Six Months and the Prior Year Six Months capitalized interest paid and included in the purchase of property and equipment was $2.1 million and $0.8 million, respectively.</w:t>
      </w:r>
    </w:p>
    <w:p>
      <w:pPr>
        <w:pStyle w:val="TextBody"/>
        <w:bidi w:val="0"/>
        <w:spacing w:before="200" w:after="283"/>
        <w:jc w:val="both"/>
        <w:rPr>
          <w:rFonts w:ascii="Times New Roman" w:hAnsi="Times New Roman"/>
          <w:color w:val="000000"/>
          <w:sz w:val="24"/>
        </w:rPr>
      </w:pPr>
      <w:r>
        <w:rPr>
          <w:rFonts w:ascii="Times New Roman" w:hAnsi="Times New Roman"/>
          <w:color w:val="000000"/>
          <w:sz w:val="24"/>
        </w:rPr>
        <w:t>For a detailed discussion of the Company’s financial results for the reported periods, see “Consolidated Results of Operations” included above. Changes in operating assets and liabilities before interest and income taxes are the result of the Company’s working capital requirements.</w:t>
      </w:r>
    </w:p>
    <w:p>
      <w:pPr>
        <w:pStyle w:val="TextBody"/>
        <w:bidi w:val="0"/>
        <w:spacing w:before="200" w:after="283"/>
        <w:jc w:val="both"/>
        <w:rPr>
          <w:rFonts w:ascii="Times New Roman" w:hAnsi="Times New Roman"/>
          <w:b/>
          <w:color w:val="000000"/>
          <w:sz w:val="24"/>
        </w:rPr>
      </w:pPr>
      <w:r>
        <w:rPr>
          <w:rFonts w:ascii="Times New Roman" w:hAnsi="Times New Roman"/>
          <w:b/>
          <w:color w:val="000000"/>
          <w:sz w:val="24"/>
        </w:rPr>
        <w:t>Investing Activities</w:t>
      </w:r>
    </w:p>
    <w:p>
      <w:pPr>
        <w:pStyle w:val="TextBody"/>
        <w:bidi w:val="0"/>
        <w:spacing w:before="200" w:after="283"/>
        <w:jc w:val="both"/>
        <w:rPr>
          <w:rFonts w:ascii="Times New Roman" w:hAnsi="Times New Roman"/>
          <w:color w:val="000000"/>
          <w:sz w:val="24"/>
        </w:rPr>
      </w:pPr>
      <w:r>
        <w:rPr>
          <w:rFonts w:ascii="Times New Roman" w:hAnsi="Times New Roman"/>
          <w:color w:val="000000"/>
          <w:sz w:val="24"/>
        </w:rPr>
        <w:t>During the Current Year Six Months, net cash provided by investing activities was $45.0 million, primarily as a result of the following: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4"/>
        </w:rPr>
      </w:pPr>
      <w:r>
        <w:rPr>
          <w:rFonts w:ascii="Times New Roman" w:hAnsi="Times New Roman"/>
          <w:color w:val="000000"/>
          <w:sz w:val="24"/>
        </w:rPr>
        <w:t>capital expenditures were $12.5 million; and</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color w:val="000000"/>
          <w:sz w:val="24"/>
        </w:rPr>
        <w:t xml:space="preserve">the Company sold </w:t>
      </w:r>
      <w:r>
        <w:rPr>
          <w:rFonts w:ascii="Times New Roman" w:hAnsi="Times New Roman"/>
          <w:color w:val="222222"/>
          <w:sz w:val="24"/>
        </w:rPr>
        <w:t xml:space="preserve">three </w:t>
      </w:r>
      <w:r>
        <w:rPr>
          <w:rFonts w:ascii="Times New Roman" w:hAnsi="Times New Roman"/>
          <w:color w:val="000000"/>
          <w:sz w:val="24"/>
        </w:rPr>
        <w:t>PSVs, two liftboats and one FSV</w:t>
      </w:r>
      <w:r>
        <w:rPr>
          <w:rFonts w:ascii="Times New Roman" w:hAnsi="Times New Roman"/>
          <w:color w:val="222222"/>
          <w:sz w:val="24"/>
        </w:rPr>
        <w:t>, each previously classified as held for sale, and other equipment</w:t>
      </w:r>
      <w:r>
        <w:rPr>
          <w:color w:val="000000"/>
        </w:rPr>
        <w:t xml:space="preserve"> </w:t>
      </w:r>
      <w:r>
        <w:rPr>
          <w:rFonts w:ascii="Times New Roman" w:hAnsi="Times New Roman"/>
          <w:color w:val="000000"/>
          <w:sz w:val="24"/>
        </w:rPr>
        <w:t>for net cash proceeds of $57.5 million, after transaction costs, for a gain of $38.8 million.</w:t>
      </w:r>
    </w:p>
    <w:p>
      <w:pPr>
        <w:pStyle w:val="TextBody"/>
        <w:bidi w:val="0"/>
        <w:spacing w:before="200" w:after="283"/>
        <w:jc w:val="both"/>
        <w:rPr>
          <w:rFonts w:ascii="Times New Roman" w:hAnsi="Times New Roman"/>
          <w:color w:val="000000"/>
          <w:sz w:val="24"/>
        </w:rPr>
      </w:pPr>
      <w:r>
        <w:rPr>
          <w:rFonts w:ascii="Times New Roman" w:hAnsi="Times New Roman"/>
          <w:color w:val="000000"/>
          <w:sz w:val="24"/>
        </w:rPr>
        <w:t>During the Prior Year Six Months, net cash used in investing activities was $9.1 million, primarily as a result of the following: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4"/>
        </w:rPr>
      </w:pPr>
      <w:r>
        <w:rPr>
          <w:rFonts w:ascii="Times New Roman" w:hAnsi="Times New Roman"/>
          <w:color w:val="000000"/>
          <w:sz w:val="24"/>
        </w:rPr>
        <w:t>capital expenditures were $31.0 million; and</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color w:val="000000"/>
          <w:sz w:val="24"/>
        </w:rPr>
        <w:t>the Company sold one FSV and two PSVs</w:t>
      </w:r>
      <w:r>
        <w:rPr>
          <w:rFonts w:ascii="Times New Roman" w:hAnsi="Times New Roman"/>
          <w:color w:val="222222"/>
          <w:sz w:val="24"/>
        </w:rPr>
        <w:t xml:space="preserve">, each previously classified as held for sale, as well as </w:t>
      </w:r>
      <w:r>
        <w:rPr>
          <w:rFonts w:ascii="Times New Roman" w:hAnsi="Times New Roman"/>
          <w:color w:val="000000"/>
          <w:sz w:val="24"/>
        </w:rPr>
        <w:t xml:space="preserve">one liftboat </w:t>
      </w:r>
      <w:r>
        <w:rPr>
          <w:rFonts w:ascii="Times New Roman" w:hAnsi="Times New Roman"/>
          <w:color w:val="222222"/>
          <w:sz w:val="24"/>
        </w:rPr>
        <w:t>and other equipment, each not previously classified as held for sale,</w:t>
      </w:r>
      <w:r>
        <w:rPr>
          <w:color w:val="000000"/>
        </w:rPr>
        <w:t xml:space="preserve"> </w:t>
      </w:r>
      <w:r>
        <w:rPr>
          <w:rFonts w:ascii="Times New Roman" w:hAnsi="Times New Roman"/>
          <w:color w:val="000000"/>
          <w:sz w:val="24"/>
        </w:rPr>
        <w:t>for net cash proceeds of $40.1 million, after transaction costs, for a gain of $25.0 million.</w:t>
      </w:r>
    </w:p>
    <w:p>
      <w:pPr>
        <w:pStyle w:val="TextBody"/>
        <w:bidi w:val="0"/>
        <w:jc w:val="center"/>
        <w:rPr/>
      </w:pPr>
      <w:r>
        <w:rPr/>
        <w:t> </w:t>
      </w:r>
    </w:p>
    <w:p>
      <w:pPr>
        <w:pStyle w:val="TextBody"/>
        <w:bidi w:val="0"/>
        <w:jc w:val="center"/>
        <w:rPr>
          <w:rFonts w:ascii="Times New Roman" w:hAnsi="Times New Roman"/>
          <w:color w:val="000000"/>
          <w:sz w:val="24"/>
        </w:rPr>
      </w:pPr>
      <w:r>
        <w:rPr>
          <w:rFonts w:ascii="Times New Roman" w:hAnsi="Times New Roman"/>
          <w:color w:val="000000"/>
          <w:sz w:val="24"/>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b/>
          <w:color w:val="000000"/>
          <w:sz w:val="24"/>
        </w:rPr>
      </w:pPr>
      <w:r>
        <w:rPr>
          <w:rFonts w:ascii="Times New Roman" w:hAnsi="Times New Roman"/>
          <w:b/>
          <w:color w:val="000000"/>
          <w:sz w:val="24"/>
        </w:rPr>
        <w:t>Financing Activities</w:t>
      </w:r>
    </w:p>
    <w:p>
      <w:pPr>
        <w:pStyle w:val="TextBody"/>
        <w:bidi w:val="0"/>
        <w:spacing w:before="200" w:after="283"/>
        <w:jc w:val="both"/>
        <w:rPr>
          <w:rFonts w:ascii="Times New Roman" w:hAnsi="Times New Roman"/>
          <w:color w:val="000000"/>
          <w:sz w:val="24"/>
        </w:rPr>
      </w:pPr>
      <w:r>
        <w:rPr>
          <w:rFonts w:ascii="Times New Roman" w:hAnsi="Times New Roman"/>
          <w:color w:val="000000"/>
          <w:sz w:val="24"/>
        </w:rPr>
        <w:t>During the Current Year Six Months, net cash used in financing activities was $16.8 million, primarily as a result of the following: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4"/>
        </w:rPr>
      </w:pPr>
      <w:r>
        <w:rPr>
          <w:rFonts w:ascii="Times New Roman" w:hAnsi="Times New Roman"/>
          <w:color w:val="000000"/>
          <w:sz w:val="24"/>
        </w:rPr>
        <w:t xml:space="preserve">the Company made scheduled payments on long-term debt and other obligations of $15.0 million;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4"/>
        </w:rPr>
      </w:pPr>
      <w:r>
        <w:rPr>
          <w:rFonts w:ascii="Times New Roman" w:hAnsi="Times New Roman"/>
          <w:color w:val="000000"/>
          <w:sz w:val="24"/>
        </w:rPr>
        <w:t>the Company made payments on tax withholdings for restricted stock vesting of $1.8 million.</w:t>
      </w:r>
    </w:p>
    <w:p>
      <w:pPr>
        <w:pStyle w:val="TextBody"/>
        <w:bidi w:val="0"/>
        <w:spacing w:before="200" w:after="283"/>
        <w:jc w:val="both"/>
        <w:rPr>
          <w:rFonts w:ascii="Times New Roman" w:hAnsi="Times New Roman"/>
          <w:color w:val="000000"/>
          <w:sz w:val="24"/>
        </w:rPr>
      </w:pPr>
      <w:r>
        <w:rPr>
          <w:rFonts w:ascii="Times New Roman" w:hAnsi="Times New Roman"/>
          <w:color w:val="000000"/>
          <w:sz w:val="24"/>
        </w:rPr>
        <w:t>During the Prior Year Six Months, net cash used in financing activities was $20.1 million primarily as a result of the following: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4"/>
        </w:rPr>
      </w:pPr>
      <w:r>
        <w:rPr>
          <w:rFonts w:ascii="Times New Roman" w:hAnsi="Times New Roman"/>
          <w:color w:val="000000"/>
          <w:sz w:val="24"/>
        </w:rPr>
        <w:t>the Company made scheduled payments on long-term debt and other obligations of $12.5 million;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4"/>
        </w:rPr>
      </w:pPr>
      <w:r>
        <w:rPr>
          <w:rFonts w:ascii="Times New Roman" w:hAnsi="Times New Roman"/>
          <w:color w:val="000000"/>
          <w:sz w:val="24"/>
        </w:rPr>
        <w:t>the Company received proceeds from the issuance of long-term debt of $7.7 million;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4"/>
        </w:rPr>
      </w:pPr>
      <w:r>
        <w:rPr>
          <w:rFonts w:ascii="Times New Roman" w:hAnsi="Times New Roman"/>
          <w:color w:val="000000"/>
          <w:sz w:val="24"/>
        </w:rPr>
        <w:t>the Company made payments for the repurchase of Common Stock of $7.1 million;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4"/>
        </w:rPr>
      </w:pPr>
      <w:r>
        <w:rPr>
          <w:rFonts w:ascii="Times New Roman" w:hAnsi="Times New Roman"/>
          <w:color w:val="000000"/>
          <w:sz w:val="24"/>
        </w:rPr>
        <w:t>the Company made payments for the repurchase of Warrants of $6.7 million;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4"/>
        </w:rPr>
      </w:pPr>
      <w:r>
        <w:rPr>
          <w:rFonts w:ascii="Times New Roman" w:hAnsi="Times New Roman"/>
          <w:color w:val="000000"/>
          <w:sz w:val="24"/>
        </w:rPr>
        <w:t>the Company made payments on tax withholdings for restricted stock vesting of $1.5 million.</w:t>
      </w:r>
    </w:p>
    <w:p>
      <w:pPr>
        <w:pStyle w:val="TextBody"/>
        <w:bidi w:val="0"/>
        <w:spacing w:before="200" w:after="283"/>
        <w:jc w:val="both"/>
        <w:rPr>
          <w:rFonts w:ascii="Times New Roman" w:hAnsi="Times New Roman"/>
          <w:b/>
          <w:color w:val="000000"/>
          <w:sz w:val="24"/>
        </w:rPr>
      </w:pPr>
      <w:r>
        <w:rPr>
          <w:rFonts w:ascii="Times New Roman" w:hAnsi="Times New Roman"/>
          <w:b/>
          <w:color w:val="000000"/>
          <w:sz w:val="24"/>
        </w:rPr>
        <w:t>Short and Long-Term Liquidity Requirements</w:t>
      </w:r>
    </w:p>
    <w:p>
      <w:pPr>
        <w:pStyle w:val="TextBody"/>
        <w:bidi w:val="0"/>
        <w:spacing w:before="200" w:after="283"/>
        <w:jc w:val="both"/>
        <w:rPr>
          <w:rFonts w:ascii="Times New Roman" w:hAnsi="Times New Roman"/>
          <w:color w:val="000000"/>
          <w:sz w:val="24"/>
        </w:rPr>
      </w:pPr>
      <w:r>
        <w:rPr>
          <w:rFonts w:ascii="Times New Roman" w:hAnsi="Times New Roman"/>
          <w:color w:val="000000"/>
          <w:sz w:val="24"/>
        </w:rPr>
        <w:t>The Company believes that a combination of cash balances on hand, cash generated from operating activities and access to the credit and capital markets, including the $25.0 million in remaining sales capacity under the ATM Program, will provide sufficient liquidity to meet its obligations, including to support its capital expenditures, working capital needs, debt service requirements and covenant compliance over the short to long term. With respect to the remaining $37.5 million in capital expenditures related to the construction of two PSVs, $37.0 million of proceeds from vessel sales remained in a restricted account designated for these capital expenditures as of June 30, 2026. The Company continually evaluates possible acquisitions and dispositions of certain businesses and assets. The Company’s sources of liquidity may be impacted by the general condition of the markets in which it operates and the broader economy as a whole, which may limit its access to or the availability of the credit and capital markets on acceptable terms. Management continuously monitors the Company’s liquidity and compliance with covenants in its 2024 SMFH Credit Facility.</w:t>
      </w:r>
    </w:p>
    <w:p>
      <w:pPr>
        <w:pStyle w:val="TextBody"/>
        <w:bidi w:val="0"/>
        <w:spacing w:before="200" w:after="283"/>
        <w:jc w:val="both"/>
        <w:rPr>
          <w:rFonts w:ascii="Times New Roman" w:hAnsi="Times New Roman"/>
          <w:b/>
          <w:color w:val="000000"/>
          <w:sz w:val="24"/>
        </w:rPr>
      </w:pPr>
      <w:r>
        <w:rPr>
          <w:rFonts w:ascii="Times New Roman" w:hAnsi="Times New Roman"/>
          <w:b/>
          <w:color w:val="000000"/>
          <w:sz w:val="24"/>
        </w:rPr>
        <w:t>Debt Securities and Credit Agreements</w:t>
      </w:r>
    </w:p>
    <w:p>
      <w:pPr>
        <w:pStyle w:val="TextBody"/>
        <w:bidi w:val="0"/>
        <w:spacing w:before="200" w:after="283"/>
        <w:jc w:val="both"/>
        <w:rPr>
          <w:rFonts w:ascii="Times New Roman" w:hAnsi="Times New Roman"/>
          <w:color w:val="000000"/>
          <w:sz w:val="24"/>
        </w:rPr>
      </w:pPr>
      <w:r>
        <w:rPr>
          <w:rFonts w:ascii="Times New Roman" w:hAnsi="Times New Roman"/>
          <w:color w:val="000000"/>
          <w:sz w:val="24"/>
        </w:rPr>
        <w:t>For a discussion of the Company’s debt securities and credit agreements, see “Note 4. Long-Term Debt” in the unaudited consolidated financial statements included in Part I. Item 1. “Financial Statements” elsewhere in this Quarterly Report on Form 10-Q and in “Note 5. Long-Term Debt” in the Company’s audited consolidated financial statements included in its 2025 Annual Report. There have been no material changes to the Company’s long-term debt during the period.</w:t>
      </w:r>
    </w:p>
    <w:p>
      <w:pPr>
        <w:pStyle w:val="TextBody"/>
        <w:bidi w:val="0"/>
        <w:spacing w:before="200" w:after="283"/>
        <w:jc w:val="both"/>
        <w:rPr>
          <w:rFonts w:ascii="Times New Roman" w:hAnsi="Times New Roman"/>
          <w:b/>
          <w:color w:val="000000"/>
          <w:sz w:val="24"/>
        </w:rPr>
      </w:pPr>
      <w:r>
        <w:rPr>
          <w:rFonts w:ascii="Times New Roman" w:hAnsi="Times New Roman"/>
          <w:b/>
          <w:color w:val="000000"/>
          <w:sz w:val="24"/>
        </w:rPr>
        <w:t>Future Cash Requirements</w:t>
      </w:r>
    </w:p>
    <w:p>
      <w:pPr>
        <w:pStyle w:val="TextBody"/>
        <w:bidi w:val="0"/>
        <w:spacing w:before="200" w:after="283"/>
        <w:jc w:val="both"/>
        <w:rPr>
          <w:rFonts w:ascii="Times New Roman" w:hAnsi="Times New Roman"/>
          <w:color w:val="000000"/>
          <w:sz w:val="24"/>
        </w:rPr>
      </w:pPr>
      <w:r>
        <w:rPr>
          <w:rFonts w:ascii="Times New Roman" w:hAnsi="Times New Roman"/>
          <w:color w:val="000000"/>
          <w:sz w:val="24"/>
        </w:rPr>
        <w:t>For a discussion of the Company’s future cash requirements, refer to “Management’s Discussion and Analysis of Financial Condition and Results of Operations - Liquidity and Capital Resources” in the Company’s 2025 Annual Report. There has been no material change in the Company’s future cash requirements since our fiscal year ended December 31, 2025, except as described in “Results of Operations - Liquidity and Capital Resources” in this Quarterly Report on Form 10-Q.</w:t>
      </w:r>
    </w:p>
    <w:p>
      <w:pPr>
        <w:pStyle w:val="TextBody"/>
        <w:bidi w:val="0"/>
        <w:jc w:val="center"/>
        <w:rPr/>
      </w:pPr>
      <w:r>
        <w:rPr/>
        <w:t> </w:t>
      </w:r>
    </w:p>
    <w:p>
      <w:pPr>
        <w:pStyle w:val="TextBody"/>
        <w:bidi w:val="0"/>
        <w:jc w:val="center"/>
        <w:rPr>
          <w:rFonts w:ascii="Times New Roman" w:hAnsi="Times New Roman"/>
          <w:color w:val="000000"/>
          <w:sz w:val="24"/>
        </w:rPr>
      </w:pPr>
      <w:r>
        <w:rPr>
          <w:rFonts w:ascii="Times New Roman" w:hAnsi="Times New Roman"/>
          <w:color w:val="000000"/>
          <w:sz w:val="24"/>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b/>
          <w:color w:val="000000"/>
          <w:sz w:val="24"/>
        </w:rPr>
      </w:pPr>
      <w:r>
        <w:rPr>
          <w:rFonts w:ascii="Times New Roman" w:hAnsi="Times New Roman"/>
          <w:b/>
          <w:color w:val="000000"/>
          <w:sz w:val="24"/>
        </w:rPr>
        <w:t>Contingencies</w:t>
      </w:r>
    </w:p>
    <w:p>
      <w:pPr>
        <w:pStyle w:val="TextBody"/>
        <w:bidi w:val="0"/>
        <w:spacing w:before="200" w:after="283"/>
        <w:jc w:val="both"/>
        <w:rPr>
          <w:rFonts w:ascii="Times New Roman" w:hAnsi="Times New Roman"/>
          <w:color w:val="000000"/>
          <w:sz w:val="24"/>
        </w:rPr>
      </w:pPr>
      <w:r>
        <w:rPr>
          <w:rFonts w:ascii="Times New Roman" w:hAnsi="Times New Roman"/>
          <w:color w:val="000000"/>
          <w:sz w:val="24"/>
        </w:rPr>
        <w:t>For a discussion of the Company’s contingencies, see “Note 9. Commitments and Contingencies” in the unaudited consolidated financial statements included in Part I. Item 1. “Financial Statements” elsewhere in this Quarterly Report on Form 10-Q.</w:t>
      </w:r>
    </w:p>
    <w:p>
      <w:pPr>
        <w:pStyle w:val="TextBody"/>
        <w:bidi w:val="0"/>
        <w:jc w:val="center"/>
        <w:rPr/>
      </w:pPr>
      <w:r>
        <w:rPr/>
        <w:t> </w:t>
      </w:r>
    </w:p>
    <w:p>
      <w:pPr>
        <w:pStyle w:val="TextBody"/>
        <w:bidi w:val="0"/>
        <w:jc w:val="center"/>
        <w:rPr>
          <w:rFonts w:ascii="Times New Roman" w:hAnsi="Times New Roman"/>
          <w:color w:val="000000"/>
          <w:sz w:val="24"/>
        </w:rPr>
      </w:pPr>
      <w:r>
        <w:rPr>
          <w:rFonts w:ascii="Times New Roman" w:hAnsi="Times New Roman"/>
          <w:color w:val="000000"/>
          <w:sz w:val="24"/>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b/>
          <w:color w:val="000000"/>
          <w:sz w:val="24"/>
        </w:rPr>
      </w:pPr>
      <w:bookmarkStart w:id="12" w:name="item_3_quantitative_qualitative_disclosu"/>
      <w:bookmarkEnd w:id="12"/>
      <w:r>
        <w:rPr>
          <w:rFonts w:ascii="Times New Roman" w:hAnsi="Times New Roman"/>
          <w:b/>
          <w:color w:val="000000"/>
          <w:sz w:val="24"/>
        </w:rPr>
        <w:t>ITEM 3. QUANTITATIVE AND QUALITATIVE DISCLOSURES ABOUT MARKET RISK</w:t>
      </w:r>
    </w:p>
    <w:p>
      <w:pPr>
        <w:pStyle w:val="TextBody"/>
        <w:bidi w:val="0"/>
        <w:spacing w:before="200" w:after="283"/>
        <w:jc w:val="both"/>
        <w:rPr>
          <w:rFonts w:ascii="Times New Roman" w:hAnsi="Times New Roman"/>
          <w:color w:val="000000"/>
          <w:sz w:val="24"/>
        </w:rPr>
      </w:pPr>
      <w:r>
        <w:rPr>
          <w:rFonts w:ascii="Times New Roman" w:hAnsi="Times New Roman"/>
          <w:color w:val="000000"/>
          <w:sz w:val="24"/>
        </w:rPr>
        <w:t>For a discussion of the Company’s exposure to market risk, refer to “Quantitative and Qualitative Disclosures About Market Risk” included in the Company’s 2025 Annual Report. There has been no material change in the Company’s exposure to market risk during the six months ended June 30, 2026.</w:t>
      </w:r>
    </w:p>
    <w:p>
      <w:pPr>
        <w:pStyle w:val="TextBody"/>
        <w:bidi w:val="0"/>
        <w:spacing w:before="200" w:after="283"/>
        <w:jc w:val="both"/>
        <w:rPr>
          <w:rFonts w:ascii="Times New Roman" w:hAnsi="Times New Roman"/>
          <w:sz w:val="20"/>
        </w:rPr>
      </w:pPr>
      <w:bookmarkStart w:id="13" w:name="item_4_controls_procedures"/>
      <w:bookmarkEnd w:id="13"/>
      <w:r>
        <w:rPr>
          <w:rFonts w:ascii="Times New Roman" w:hAnsi="Times New Roman"/>
          <w:b/>
          <w:color w:val="000000"/>
          <w:sz w:val="24"/>
        </w:rPr>
        <w:t>ITEM 4. CONTROLS</w:t>
      </w:r>
      <w:r>
        <w:rPr>
          <w:rFonts w:ascii="Times New Roman" w:hAnsi="Times New Roman"/>
          <w:color w:val="000000"/>
          <w:sz w:val="20"/>
        </w:rPr>
        <w:t xml:space="preserve"> </w:t>
      </w:r>
      <w:r>
        <w:rPr>
          <w:rFonts w:ascii="Times New Roman" w:hAnsi="Times New Roman"/>
          <w:b/>
          <w:color w:val="000000"/>
          <w:sz w:val="24"/>
        </w:rPr>
        <w:t>AND PROCEDURES</w:t>
      </w:r>
    </w:p>
    <w:p>
      <w:pPr>
        <w:pStyle w:val="TextBody"/>
        <w:bidi w:val="0"/>
        <w:spacing w:before="200" w:after="283"/>
        <w:jc w:val="both"/>
        <w:rPr>
          <w:rFonts w:ascii="Times New Roman" w:hAnsi="Times New Roman"/>
          <w:b/>
          <w:color w:val="000000"/>
          <w:sz w:val="24"/>
        </w:rPr>
      </w:pPr>
      <w:r>
        <w:rPr>
          <w:rFonts w:ascii="Times New Roman" w:hAnsi="Times New Roman"/>
          <w:b/>
          <w:color w:val="000000"/>
          <w:sz w:val="24"/>
        </w:rPr>
        <w:t>Evaluation of Disclosure Controls and Procedures</w:t>
      </w:r>
    </w:p>
    <w:p>
      <w:pPr>
        <w:pStyle w:val="TextBody"/>
        <w:bidi w:val="0"/>
        <w:spacing w:before="200" w:after="283"/>
        <w:jc w:val="both"/>
        <w:rPr>
          <w:rFonts w:ascii="Times New Roman" w:hAnsi="Times New Roman"/>
          <w:color w:val="000000"/>
          <w:sz w:val="24"/>
        </w:rPr>
      </w:pPr>
      <w:r>
        <w:rPr>
          <w:rFonts w:ascii="Times New Roman" w:hAnsi="Times New Roman"/>
          <w:color w:val="000000"/>
          <w:sz w:val="24"/>
        </w:rPr>
        <w:t>With the participation of the Company’s principal executive officer and principal financial officer, management evaluated the effectiveness of the Company’s disclosure controls and procedures (as defined in Rules 13a-15(e) and 15d-15(e) under the Exchange Act), as of June 30, 2026. Based on their evaluation, the Company’s principal executive officer and principal financial officer concluded that the Company’s disclosure controls and procedures were effective as of June 30, 2026 to provide reasonable assurance that information required to be disclosed by the Company in reports filed or submitted under the Exchange Act is (i) recorded, processed, summarized and reported within the time periods specified in the United States Securities and Exchange Commission’s (“SEC”) rules and forms and (ii) accumulated and communicated to the Company’s management, including its Chief Executive Officer and Chief Financial Officer, as appropriate to allow timely decisions regarding required disclosure.</w:t>
      </w:r>
    </w:p>
    <w:p>
      <w:pPr>
        <w:pStyle w:val="TextBody"/>
        <w:bidi w:val="0"/>
        <w:spacing w:before="200" w:after="283"/>
        <w:jc w:val="both"/>
        <w:rPr>
          <w:rFonts w:ascii="Times New Roman" w:hAnsi="Times New Roman"/>
          <w:color w:val="000000"/>
          <w:sz w:val="24"/>
        </w:rPr>
      </w:pPr>
      <w:r>
        <w:rPr>
          <w:rFonts w:ascii="Times New Roman" w:hAnsi="Times New Roman"/>
          <w:color w:val="000000"/>
          <w:sz w:val="24"/>
        </w:rPr>
        <w:t>The Company’s disclosure controls and procedures have been designed to ensure that information required to be disclosed by the Company in the reports it files or submits under the Exchange Act is recorded, processed, summarized and reported to the Company’s management, including its principal executive and principal financial officers, within the time periods specified in the SEC’s rules and forms to allow timely decisions regarding required disclosures. All internal control systems, no matter how well designed, have inherent limitations. Therefore, even those internal control systems determined to be effective can provide only a level of reasonable assurance with respect to financial statement preparation and presentation.</w:t>
      </w:r>
    </w:p>
    <w:p>
      <w:pPr>
        <w:pStyle w:val="TextBody"/>
        <w:bidi w:val="0"/>
        <w:spacing w:before="200" w:after="283"/>
        <w:jc w:val="both"/>
        <w:rPr>
          <w:rFonts w:ascii="Times New Roman" w:hAnsi="Times New Roman"/>
          <w:b/>
          <w:color w:val="000000"/>
          <w:sz w:val="24"/>
        </w:rPr>
      </w:pPr>
      <w:r>
        <w:rPr>
          <w:rFonts w:ascii="Times New Roman" w:hAnsi="Times New Roman"/>
          <w:b/>
          <w:color w:val="000000"/>
          <w:sz w:val="24"/>
        </w:rPr>
        <w:t>Changes in Internal Control Over Financial Reporting</w:t>
      </w:r>
    </w:p>
    <w:p>
      <w:pPr>
        <w:pStyle w:val="TextBody"/>
        <w:bidi w:val="0"/>
        <w:spacing w:before="200" w:after="283"/>
        <w:jc w:val="both"/>
        <w:rPr>
          <w:rFonts w:ascii="Times New Roman" w:hAnsi="Times New Roman"/>
          <w:sz w:val="20"/>
        </w:rPr>
      </w:pPr>
      <w:r>
        <w:rPr>
          <w:rFonts w:ascii="Times New Roman" w:hAnsi="Times New Roman"/>
          <w:color w:val="000000"/>
          <w:sz w:val="24"/>
        </w:rPr>
        <w:t>There have been no changes in the Company’s internal control over financial reporting (as defined in Rules 13a-15(f) and 15d-15(f) under the Exchange Act) that occurred during the Current Year Quarter</w:t>
      </w:r>
      <w:r>
        <w:rPr>
          <w:rFonts w:ascii="Times New Roman" w:hAnsi="Times New Roman"/>
          <w:color w:val="000000"/>
          <w:sz w:val="20"/>
        </w:rPr>
        <w:t xml:space="preserve"> </w:t>
      </w:r>
      <w:r>
        <w:rPr>
          <w:rFonts w:ascii="Times New Roman" w:hAnsi="Times New Roman"/>
          <w:color w:val="000000"/>
          <w:sz w:val="24"/>
        </w:rPr>
        <w:t>that have materially affected, or are reasonably likely to materially affect, the Company’s internal control over financial reporting.</w:t>
      </w:r>
    </w:p>
    <w:p>
      <w:pPr>
        <w:pStyle w:val="TextBody"/>
        <w:bidi w:val="0"/>
        <w:jc w:val="center"/>
        <w:rPr/>
      </w:pPr>
      <w:r>
        <w:rPr/>
        <w:t> </w:t>
      </w:r>
    </w:p>
    <w:p>
      <w:pPr>
        <w:pStyle w:val="TextBody"/>
        <w:bidi w:val="0"/>
        <w:jc w:val="center"/>
        <w:rPr>
          <w:rFonts w:ascii="Times New Roman" w:hAnsi="Times New Roman"/>
          <w:color w:val="000000"/>
          <w:sz w:val="24"/>
        </w:rPr>
      </w:pPr>
      <w:r>
        <w:rPr>
          <w:rFonts w:ascii="Times New Roman" w:hAnsi="Times New Roman"/>
          <w:color w:val="000000"/>
          <w:sz w:val="24"/>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bookmarkStart w:id="14" w:name="part_iior_information"/>
      <w:bookmarkEnd w:id="14"/>
      <w:r>
        <w:rPr>
          <w:rFonts w:ascii="Times New Roman" w:hAnsi="Times New Roman"/>
          <w:b/>
          <w:color w:val="000000"/>
          <w:sz w:val="24"/>
        </w:rPr>
        <w:t>PART II—OTHER</w:t>
      </w:r>
      <w:r>
        <w:rPr>
          <w:rFonts w:ascii="Times New Roman" w:hAnsi="Times New Roman"/>
          <w:color w:val="000000"/>
          <w:sz w:val="20"/>
        </w:rPr>
        <w:t xml:space="preserve"> </w:t>
      </w:r>
      <w:r>
        <w:rPr>
          <w:rFonts w:ascii="Times New Roman" w:hAnsi="Times New Roman"/>
          <w:b/>
          <w:color w:val="000000"/>
          <w:sz w:val="24"/>
        </w:rPr>
        <w:t>INFORMATION</w:t>
      </w:r>
    </w:p>
    <w:p>
      <w:pPr>
        <w:pStyle w:val="TextBody"/>
        <w:bidi w:val="0"/>
        <w:spacing w:before="200" w:after="283"/>
        <w:jc w:val="both"/>
        <w:rPr>
          <w:rFonts w:ascii="Times New Roman" w:hAnsi="Times New Roman"/>
          <w:sz w:val="20"/>
        </w:rPr>
      </w:pPr>
      <w:bookmarkStart w:id="15" w:name="item_1_legal_proceedings"/>
      <w:bookmarkEnd w:id="15"/>
      <w:r>
        <w:rPr>
          <w:rFonts w:ascii="Times New Roman" w:hAnsi="Times New Roman"/>
          <w:b/>
          <w:color w:val="000000"/>
          <w:sz w:val="24"/>
        </w:rPr>
        <w:t>ITEM 1. LEGAL</w:t>
      </w:r>
      <w:r>
        <w:rPr>
          <w:rFonts w:ascii="Times New Roman" w:hAnsi="Times New Roman"/>
          <w:color w:val="000000"/>
          <w:sz w:val="20"/>
        </w:rPr>
        <w:t xml:space="preserve"> </w:t>
      </w:r>
      <w:r>
        <w:rPr>
          <w:rFonts w:ascii="Times New Roman" w:hAnsi="Times New Roman"/>
          <w:b/>
          <w:color w:val="000000"/>
          <w:sz w:val="24"/>
        </w:rPr>
        <w:t>PROCEEDINGS</w:t>
      </w:r>
    </w:p>
    <w:p>
      <w:pPr>
        <w:pStyle w:val="TextBody"/>
        <w:bidi w:val="0"/>
        <w:spacing w:before="200" w:after="283"/>
        <w:jc w:val="both"/>
        <w:rPr>
          <w:rFonts w:ascii="Times New Roman" w:hAnsi="Times New Roman"/>
          <w:color w:val="000000"/>
          <w:sz w:val="24"/>
        </w:rPr>
      </w:pPr>
      <w:r>
        <w:rPr>
          <w:rFonts w:ascii="Times New Roman" w:hAnsi="Times New Roman"/>
          <w:color w:val="000000"/>
          <w:sz w:val="24"/>
        </w:rPr>
        <w:t>For a description of developments with respect to pending legal proceedings described in the Company’s 2025 Annual Report, see “Note 9. Commitments and Contingencies” in the unaudited consolidated financial statements included in Part I. Item 1. “Financial Statements” elsewhere in this Quarterly Report on Form 10-Q.</w:t>
      </w:r>
    </w:p>
    <w:p>
      <w:pPr>
        <w:pStyle w:val="TextBody"/>
        <w:bidi w:val="0"/>
        <w:spacing w:before="200" w:after="283"/>
        <w:jc w:val="both"/>
        <w:rPr>
          <w:rFonts w:ascii="Times New Roman" w:hAnsi="Times New Roman"/>
          <w:b/>
          <w:color w:val="000000"/>
          <w:sz w:val="24"/>
        </w:rPr>
      </w:pPr>
      <w:bookmarkStart w:id="16" w:name="item_1a_risk_factors"/>
      <w:bookmarkEnd w:id="16"/>
      <w:r>
        <w:rPr>
          <w:rFonts w:ascii="Times New Roman" w:hAnsi="Times New Roman"/>
          <w:b/>
          <w:color w:val="000000"/>
          <w:sz w:val="24"/>
        </w:rPr>
        <w:t>ITEM 1A. RISK FACTORS</w:t>
      </w:r>
    </w:p>
    <w:p>
      <w:pPr>
        <w:pStyle w:val="TextBody"/>
        <w:bidi w:val="0"/>
        <w:spacing w:before="200" w:after="283"/>
        <w:jc w:val="both"/>
        <w:rPr>
          <w:rFonts w:ascii="Times New Roman" w:hAnsi="Times New Roman"/>
          <w:color w:val="000000"/>
          <w:sz w:val="24"/>
        </w:rPr>
      </w:pPr>
      <w:r>
        <w:rPr>
          <w:rFonts w:ascii="Times New Roman" w:hAnsi="Times New Roman"/>
          <w:color w:val="000000"/>
          <w:sz w:val="24"/>
        </w:rPr>
        <w:t>For a discussion of the Company’s risk factors, refer to “Risk Factors” included in the Company’s 2025 Annual Report. There have been no material changes in the Company’s risk factors during the Current Year Quarter.</w:t>
      </w:r>
    </w:p>
    <w:p>
      <w:pPr>
        <w:pStyle w:val="TextBody"/>
        <w:bidi w:val="0"/>
        <w:spacing w:before="200" w:after="283"/>
        <w:jc w:val="both"/>
        <w:rPr>
          <w:rFonts w:ascii="Times New Roman" w:hAnsi="Times New Roman"/>
          <w:b/>
          <w:color w:val="000000"/>
          <w:sz w:val="24"/>
        </w:rPr>
      </w:pPr>
      <w:bookmarkStart w:id="17" w:name="item_2_unregistered_sales_equity_securit"/>
      <w:bookmarkEnd w:id="17"/>
      <w:r>
        <w:rPr>
          <w:rFonts w:ascii="Times New Roman" w:hAnsi="Times New Roman"/>
          <w:b/>
          <w:color w:val="000000"/>
          <w:sz w:val="24"/>
        </w:rPr>
        <w:t>ITEM 2. UNREGISTERED SALES OF EQUITY SECURITIES AND USE OF PROCEEDS</w:t>
      </w:r>
    </w:p>
    <w:p>
      <w:pPr>
        <w:pStyle w:val="TextBody"/>
        <w:bidi w:val="0"/>
        <w:spacing w:before="200" w:after="283"/>
        <w:jc w:val="both"/>
        <w:rPr>
          <w:rFonts w:ascii="Times New Roman" w:hAnsi="Times New Roman"/>
          <w:color w:val="000000"/>
          <w:sz w:val="24"/>
        </w:rPr>
      </w:pPr>
      <w:r>
        <w:rPr>
          <w:rFonts w:ascii="Times New Roman" w:hAnsi="Times New Roman"/>
          <w:color w:val="000000"/>
          <w:sz w:val="24"/>
        </w:rPr>
        <w:t>(a), (b) None.</w:t>
      </w:r>
    </w:p>
    <w:p>
      <w:pPr>
        <w:pStyle w:val="TextBody"/>
        <w:bidi w:val="0"/>
        <w:spacing w:before="120" w:after="200"/>
        <w:jc w:val="both"/>
        <w:rPr>
          <w:rFonts w:ascii="Times New Roman" w:hAnsi="Times New Roman"/>
          <w:color w:val="000000"/>
          <w:sz w:val="24"/>
        </w:rPr>
      </w:pPr>
      <w:r>
        <w:rPr>
          <w:rFonts w:ascii="Times New Roman" w:hAnsi="Times New Roman"/>
          <w:color w:val="000000"/>
          <w:sz w:val="24"/>
        </w:rPr>
        <w:t>(c) This table provides information with respect to purchases by the Company of shares of its Common Stock during the Current Year Quarter:</w:t>
      </w:r>
    </w:p>
    <w:tbl>
      <w:tblPr>
        <w:tblW w:w="9824" w:type="dxa"/>
        <w:jc w:val="left"/>
        <w:tblInd w:w="0" w:type="dxa"/>
        <w:tblLayout w:type="fixed"/>
        <w:tblCellMar>
          <w:top w:w="28" w:type="dxa"/>
          <w:left w:w="28" w:type="dxa"/>
          <w:bottom w:w="28" w:type="dxa"/>
          <w:right w:w="28" w:type="dxa"/>
        </w:tblCellMar>
      </w:tblPr>
      <w:tblGrid>
        <w:gridCol w:w="2356"/>
        <w:gridCol w:w="146"/>
        <w:gridCol w:w="329"/>
        <w:gridCol w:w="1156"/>
        <w:gridCol w:w="146"/>
        <w:gridCol w:w="146"/>
        <w:gridCol w:w="460"/>
        <w:gridCol w:w="995"/>
        <w:gridCol w:w="146"/>
        <w:gridCol w:w="146"/>
        <w:gridCol w:w="484"/>
        <w:gridCol w:w="1151"/>
        <w:gridCol w:w="146"/>
        <w:gridCol w:w="146"/>
        <w:gridCol w:w="497"/>
        <w:gridCol w:w="1183"/>
        <w:gridCol w:w="191"/>
      </w:tblGrid>
      <w:tr>
        <w:trPr/>
        <w:tc>
          <w:tcPr>
            <w:tcW w:w="23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18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3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 Number of</w:t>
              <w:br/>
              <w:t>Shares Purchased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Average Price per</w:t>
              <w:br/>
              <w:t>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 Number of</w:t>
              <w:br/>
              <w:t>Shares Purchased</w:t>
              <w:br/>
              <w:t>as Part of a Publicly</w:t>
              <w:br/>
              <w:t>Announced Plan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Maximum Number</w:t>
              <w:br/>
              <w:t>of Shares that may</w:t>
              <w:br/>
              <w:t>be Purchased Under</w:t>
              <w:br/>
              <w:t>the Plan</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April 1, 2026 to April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3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May 1, 2026 to May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3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June 1, 2026 to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00" w:after="283"/>
        <w:jc w:val="both"/>
        <w:rPr>
          <w:rFonts w:ascii="Times New Roman" w:hAnsi="Times New Roman"/>
          <w:color w:val="000000"/>
          <w:sz w:val="24"/>
        </w:rPr>
      </w:pPr>
      <w:r>
        <w:rPr>
          <w:rFonts w:ascii="Times New Roman" w:hAnsi="Times New Roman"/>
          <w:color w:val="000000"/>
          <w:sz w:val="24"/>
        </w:rPr>
        <w:t>For the three months ended June 30, 2026, the Company acquired for treasury (i) 5,502 shares of Common Stock from its directors to cover their tax withholding obligations upon the vesting of restricted share awards for an aggregate purchase price of $41,595. These shares were purchased in accordance with the terms of the Company’s 2025 Equity Incentive Plan.</w:t>
      </w:r>
    </w:p>
    <w:p>
      <w:pPr>
        <w:pStyle w:val="TextBody"/>
        <w:bidi w:val="0"/>
        <w:spacing w:before="200" w:after="283"/>
        <w:jc w:val="both"/>
        <w:rPr>
          <w:rFonts w:ascii="Times New Roman" w:hAnsi="Times New Roman"/>
          <w:b/>
          <w:color w:val="000000"/>
          <w:sz w:val="24"/>
        </w:rPr>
      </w:pPr>
      <w:bookmarkStart w:id="18" w:name="item_3_default_upon_senior_securities"/>
      <w:bookmarkEnd w:id="18"/>
      <w:r>
        <w:rPr>
          <w:rFonts w:ascii="Times New Roman" w:hAnsi="Times New Roman"/>
          <w:b/>
          <w:color w:val="000000"/>
          <w:sz w:val="24"/>
        </w:rPr>
        <w:t>ITEM 3. DEFAULT UPON SENIOR SECURITIES</w:t>
      </w:r>
    </w:p>
    <w:p>
      <w:pPr>
        <w:pStyle w:val="TextBody"/>
        <w:bidi w:val="0"/>
        <w:spacing w:before="200" w:after="283"/>
        <w:jc w:val="both"/>
        <w:rPr>
          <w:rFonts w:ascii="Times New Roman" w:hAnsi="Times New Roman"/>
          <w:color w:val="000000"/>
          <w:sz w:val="24"/>
        </w:rPr>
      </w:pPr>
      <w:r>
        <w:rPr>
          <w:rFonts w:ascii="Times New Roman" w:hAnsi="Times New Roman"/>
          <w:color w:val="000000"/>
          <w:sz w:val="24"/>
        </w:rPr>
        <w:t>None.</w:t>
      </w:r>
    </w:p>
    <w:p>
      <w:pPr>
        <w:pStyle w:val="TextBody"/>
        <w:bidi w:val="0"/>
        <w:spacing w:before="200" w:after="283"/>
        <w:jc w:val="both"/>
        <w:rPr>
          <w:rFonts w:ascii="Times New Roman" w:hAnsi="Times New Roman"/>
          <w:b/>
          <w:color w:val="000000"/>
          <w:sz w:val="24"/>
        </w:rPr>
      </w:pPr>
      <w:bookmarkStart w:id="19" w:name="item_4_mine_safety_disclosures"/>
      <w:bookmarkEnd w:id="19"/>
      <w:r>
        <w:rPr>
          <w:rFonts w:ascii="Times New Roman" w:hAnsi="Times New Roman"/>
          <w:b/>
          <w:color w:val="000000"/>
          <w:sz w:val="24"/>
        </w:rPr>
        <w:t>ITEM 4. MINE SAFETY DISCLOSURES</w:t>
      </w:r>
    </w:p>
    <w:p>
      <w:pPr>
        <w:pStyle w:val="TextBody"/>
        <w:bidi w:val="0"/>
        <w:spacing w:before="200" w:after="283"/>
        <w:jc w:val="both"/>
        <w:rPr>
          <w:rFonts w:ascii="Times New Roman" w:hAnsi="Times New Roman"/>
          <w:color w:val="000000"/>
          <w:sz w:val="24"/>
        </w:rPr>
      </w:pPr>
      <w:r>
        <w:rPr>
          <w:rFonts w:ascii="Times New Roman" w:hAnsi="Times New Roman"/>
          <w:color w:val="000000"/>
          <w:sz w:val="24"/>
        </w:rPr>
        <w:t>Not applicable.</w:t>
      </w:r>
    </w:p>
    <w:p>
      <w:pPr>
        <w:pStyle w:val="TextBody"/>
        <w:bidi w:val="0"/>
        <w:spacing w:before="200" w:after="283"/>
        <w:jc w:val="both"/>
        <w:rPr>
          <w:rFonts w:ascii="Times New Roman" w:hAnsi="Times New Roman"/>
          <w:sz w:val="20"/>
        </w:rPr>
      </w:pPr>
      <w:bookmarkStart w:id="20" w:name="item_5_or_information"/>
      <w:bookmarkEnd w:id="20"/>
      <w:r>
        <w:rPr>
          <w:rFonts w:ascii="Times New Roman" w:hAnsi="Times New Roman"/>
          <w:b/>
          <w:color w:val="000000"/>
          <w:sz w:val="24"/>
        </w:rPr>
        <w:t>ITEM 5. OTHER</w:t>
      </w:r>
      <w:r>
        <w:rPr>
          <w:rFonts w:ascii="Times New Roman" w:hAnsi="Times New Roman"/>
          <w:color w:val="000000"/>
          <w:sz w:val="20"/>
        </w:rPr>
        <w:t xml:space="preserve"> </w:t>
      </w:r>
      <w:r>
        <w:rPr>
          <w:rFonts w:ascii="Times New Roman" w:hAnsi="Times New Roman"/>
          <w:b/>
          <w:color w:val="000000"/>
          <w:sz w:val="24"/>
        </w:rPr>
        <w:t>INFORMATION</w:t>
      </w:r>
    </w:p>
    <w:p>
      <w:pPr>
        <w:pStyle w:val="TextBody"/>
        <w:bidi w:val="0"/>
        <w:spacing w:before="200" w:after="200"/>
        <w:jc w:val="both"/>
        <w:rPr>
          <w:rFonts w:ascii="Times New Roman" w:hAnsi="Times New Roman"/>
          <w:sz w:val="20"/>
        </w:rPr>
      </w:pPr>
      <w:r>
        <w:rPr>
          <w:rFonts w:ascii="Times New Roman" w:hAnsi="Times New Roman"/>
          <w:color w:val="000000"/>
          <w:sz w:val="24"/>
        </w:rPr>
        <w:t>During the second quarter of 2026, none of our directors or Section 16 officers adopted</w:t>
      </w:r>
      <w:r>
        <w:rPr>
          <w:rFonts w:ascii="Times New Roman" w:hAnsi="Times New Roman"/>
          <w:color w:val="000000"/>
          <w:sz w:val="20"/>
        </w:rPr>
        <w:t xml:space="preserve"> </w:t>
      </w:r>
      <w:r>
        <w:rPr>
          <w:rFonts w:ascii="Times New Roman" w:hAnsi="Times New Roman"/>
          <w:color w:val="000000"/>
          <w:sz w:val="24"/>
        </w:rPr>
        <w:t>or terminated</w:t>
      </w:r>
      <w:r>
        <w:rPr>
          <w:rFonts w:ascii="Times New Roman" w:hAnsi="Times New Roman"/>
          <w:color w:val="000000"/>
          <w:sz w:val="20"/>
        </w:rPr>
        <w:t xml:space="preserve"> </w:t>
      </w:r>
      <w:r>
        <w:rPr>
          <w:rFonts w:ascii="Times New Roman" w:hAnsi="Times New Roman"/>
          <w:color w:val="000000"/>
          <w:sz w:val="24"/>
        </w:rPr>
        <w:t>a “Rule 10b5-1 trading arrangement” or “non-Rule 10b5-1 trading arrangement” (as each term is defined in Item 408(a) of Regulation S-K).</w:t>
      </w:r>
    </w:p>
    <w:p>
      <w:pPr>
        <w:pStyle w:val="TextBody"/>
        <w:bidi w:val="0"/>
        <w:jc w:val="center"/>
        <w:rPr/>
      </w:pPr>
      <w:r>
        <w:rPr/>
        <w:t> </w:t>
      </w:r>
    </w:p>
    <w:p>
      <w:pPr>
        <w:pStyle w:val="TextBody"/>
        <w:bidi w:val="0"/>
        <w:jc w:val="center"/>
        <w:rPr>
          <w:rFonts w:ascii="Times New Roman" w:hAnsi="Times New Roman"/>
          <w:color w:val="000000"/>
          <w:sz w:val="24"/>
        </w:rPr>
      </w:pPr>
      <w:r>
        <w:rPr>
          <w:rFonts w:ascii="Times New Roman" w:hAnsi="Times New Roman"/>
          <w:color w:val="000000"/>
          <w:sz w:val="24"/>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00"/>
        <w:jc w:val="both"/>
        <w:rPr>
          <w:rFonts w:ascii="Times New Roman" w:hAnsi="Times New Roman"/>
          <w:sz w:val="20"/>
        </w:rPr>
      </w:pPr>
      <w:bookmarkStart w:id="21" w:name="item_6_exhibits"/>
      <w:bookmarkEnd w:id="21"/>
      <w:r>
        <w:rPr>
          <w:rFonts w:ascii="Times New Roman" w:hAnsi="Times New Roman"/>
          <w:b/>
          <w:color w:val="000000"/>
          <w:sz w:val="24"/>
        </w:rPr>
        <w:t>ITEM 6.</w:t>
      </w:r>
      <w:r>
        <w:rPr>
          <w:rFonts w:ascii="Times New Roman" w:hAnsi="Times New Roman"/>
          <w:color w:val="000000"/>
          <w:sz w:val="20"/>
        </w:rPr>
        <w:t xml:space="preserve"> </w:t>
      </w:r>
      <w:r>
        <w:rPr>
          <w:rFonts w:ascii="Times New Roman" w:hAnsi="Times New Roman"/>
          <w:b/>
          <w:color w:val="000000"/>
          <w:sz w:val="24"/>
        </w:rPr>
        <w:t>EXHIBITS</w:t>
      </w:r>
    </w:p>
    <w:tbl>
      <w:tblPr>
        <w:tblW w:w="10205" w:type="dxa"/>
        <w:jc w:val="left"/>
        <w:tblInd w:w="0" w:type="dxa"/>
        <w:tblLayout w:type="fixed"/>
        <w:tblCellMar>
          <w:top w:w="28" w:type="dxa"/>
          <w:left w:w="28" w:type="dxa"/>
          <w:bottom w:w="28" w:type="dxa"/>
          <w:right w:w="28" w:type="dxa"/>
        </w:tblCellMar>
      </w:tblPr>
      <w:tblGrid>
        <w:gridCol w:w="801"/>
        <w:gridCol w:w="146"/>
        <w:gridCol w:w="9258"/>
      </w:tblGrid>
      <w:tr>
        <w:trPr/>
        <w:tc>
          <w:tcPr>
            <w:tcW w:w="8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258" w:type="dxa"/>
            <w:tcBorders/>
            <w:vAlign w:val="center"/>
          </w:tcPr>
          <w:p>
            <w:pPr>
              <w:pStyle w:val="TableContents"/>
              <w:bidi w:val="0"/>
              <w:spacing w:before="0" w:after="283"/>
              <w:jc w:val="left"/>
              <w:rPr>
                <w:sz w:val="4"/>
                <w:szCs w:val="4"/>
              </w:rPr>
            </w:pPr>
            <w:r>
              <w:rPr>
                <w:sz w:val="4"/>
                <w:szCs w:val="4"/>
              </w:rPr>
            </w:r>
          </w:p>
        </w:tc>
      </w:tr>
      <w:tr>
        <w:trPr/>
        <w:tc>
          <w:tcPr>
            <w:tcW w:w="8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31.1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58" w:type="dxa"/>
            <w:tcBorders/>
            <w:tcMar>
              <w:top w:w="0" w:type="dxa"/>
              <w:left w:w="0" w:type="dxa"/>
              <w:bottom w:w="0" w:type="dxa"/>
              <w:right w:w="0" w:type="dxa"/>
            </w:tcMar>
            <w:vAlign w:val="center"/>
          </w:tcPr>
          <w:p>
            <w:pPr>
              <w:pStyle w:val="TableContents"/>
              <w:bidi w:val="0"/>
              <w:spacing w:before="0" w:after="283"/>
              <w:jc w:val="left"/>
              <w:rPr/>
            </w:pPr>
            <w:hyperlink w:anchor="smhi-ex31_1.htm">
              <w:r>
                <w:rPr>
                  <w:rStyle w:val="InternetLink"/>
                  <w:rFonts w:ascii="Times New Roman" w:hAnsi="Times New Roman"/>
                  <w:color w:val="0000FF"/>
                  <w:sz w:val="24"/>
                  <w:u w:val="single"/>
                </w:rPr>
                <w:t>Certification by the Principal Executive Officer pursuant to Rule 13a-14(a) and Rule 15d-14(a) of the Securities Exchange Act, as amended.</w:t>
              </w:r>
            </w:hyperlink>
          </w:p>
        </w:tc>
      </w:tr>
      <w:tr>
        <w:trPr/>
        <w:tc>
          <w:tcPr>
            <w:tcW w:w="80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31.2</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8" w:type="dxa"/>
            <w:tcBorders/>
            <w:tcMar>
              <w:top w:w="0" w:type="dxa"/>
              <w:left w:w="0" w:type="dxa"/>
              <w:bottom w:w="0" w:type="dxa"/>
              <w:right w:w="0" w:type="dxa"/>
            </w:tcMar>
            <w:vAlign w:val="center"/>
          </w:tcPr>
          <w:p>
            <w:pPr>
              <w:pStyle w:val="TableContents"/>
              <w:bidi w:val="0"/>
              <w:spacing w:before="0" w:after="283"/>
              <w:jc w:val="left"/>
              <w:rPr/>
            </w:pPr>
            <w:hyperlink w:anchor="smhi-ex31_2.htm">
              <w:r>
                <w:rPr>
                  <w:rStyle w:val="InternetLink"/>
                  <w:rFonts w:ascii="Times New Roman" w:hAnsi="Times New Roman"/>
                  <w:color w:val="0000FF"/>
                  <w:sz w:val="24"/>
                  <w:u w:val="single"/>
                </w:rPr>
                <w:t>Certification by the Principal Financial Officer pursuant to Rule 13a-14(a) and Rule 15d-14(a) of the Securities Exchange Act, as amended.</w:t>
              </w:r>
            </w:hyperlink>
          </w:p>
        </w:tc>
      </w:tr>
      <w:tr>
        <w:trPr/>
        <w:tc>
          <w:tcPr>
            <w:tcW w:w="80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32.1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8" w:type="dxa"/>
            <w:tcBorders/>
            <w:tcMar>
              <w:top w:w="0" w:type="dxa"/>
              <w:left w:w="0" w:type="dxa"/>
              <w:bottom w:w="0" w:type="dxa"/>
              <w:right w:w="0" w:type="dxa"/>
            </w:tcMar>
            <w:vAlign w:val="center"/>
          </w:tcPr>
          <w:p>
            <w:pPr>
              <w:pStyle w:val="TableContents"/>
              <w:bidi w:val="0"/>
              <w:spacing w:before="0" w:after="283"/>
              <w:jc w:val="left"/>
              <w:rPr/>
            </w:pPr>
            <w:hyperlink w:anchor="smhi-ex32.htm">
              <w:r>
                <w:rPr>
                  <w:rStyle w:val="InternetLink"/>
                  <w:rFonts w:ascii="Times New Roman" w:hAnsi="Times New Roman"/>
                  <w:color w:val="0000FF"/>
                  <w:sz w:val="24"/>
                  <w:u w:val="single"/>
                </w:rPr>
                <w:t>Certification by the Principal Executive Officer and Chief Financial Officer pursuant to 18 U.S.C. Section 1350, as adopted pursuant to Section 906 of the Sarbanes-Oxley Act of 2002.</w:t>
              </w:r>
            </w:hyperlink>
          </w:p>
        </w:tc>
      </w:tr>
      <w:tr>
        <w:trPr/>
        <w:tc>
          <w:tcPr>
            <w:tcW w:w="80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101.INS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Inline XBRL Instance Document – the instance document does not appear in the Interactive Data File because its XBRL tags are embedded within the Inline XBRL document.</w:t>
            </w:r>
          </w:p>
        </w:tc>
      </w:tr>
      <w:tr>
        <w:trPr/>
        <w:tc>
          <w:tcPr>
            <w:tcW w:w="80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101.SCH</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Inline XBRL Taxonomy Extension Schema With Embedded Linkbase Documents.</w:t>
            </w:r>
          </w:p>
        </w:tc>
      </w:tr>
      <w:tr>
        <w:trPr/>
        <w:tc>
          <w:tcPr>
            <w:tcW w:w="80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5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The cover page for the Company’s Quarterly Report on Form 10-Q for the quarter ended June 30, 2026, has been formatted in Inline XBRL.</w:t>
            </w:r>
          </w:p>
        </w:tc>
      </w:tr>
      <w:tr>
        <w:trPr/>
        <w:tc>
          <w:tcPr>
            <w:tcW w:w="8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center"/>
        <w:rPr/>
      </w:pPr>
      <w:r>
        <w:rPr/>
        <w:t> </w:t>
      </w:r>
    </w:p>
    <w:p>
      <w:pPr>
        <w:pStyle w:val="TextBody"/>
        <w:bidi w:val="0"/>
        <w:jc w:val="center"/>
        <w:rPr>
          <w:rFonts w:ascii="Times New Roman" w:hAnsi="Times New Roman"/>
          <w:color w:val="000000"/>
          <w:sz w:val="24"/>
        </w:rPr>
      </w:pPr>
      <w:r>
        <w:rPr>
          <w:rFonts w:ascii="Times New Roman" w:hAnsi="Times New Roman"/>
          <w:color w:val="000000"/>
          <w:sz w:val="24"/>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4"/>
        </w:rPr>
      </w:pPr>
      <w:bookmarkStart w:id="22" w:name="signatures"/>
      <w:bookmarkEnd w:id="22"/>
      <w:r>
        <w:rPr>
          <w:rFonts w:ascii="Times New Roman" w:hAnsi="Times New Roman"/>
          <w:b/>
          <w:color w:val="000000"/>
          <w:sz w:val="24"/>
        </w:rPr>
        <w:t>SIGNATURES</w:t>
      </w:r>
    </w:p>
    <w:p>
      <w:pPr>
        <w:pStyle w:val="TextBody"/>
        <w:bidi w:val="0"/>
        <w:spacing w:before="200" w:after="200"/>
        <w:jc w:val="both"/>
        <w:rPr>
          <w:rFonts w:ascii="Times New Roman" w:hAnsi="Times New Roman"/>
          <w:color w:val="000000"/>
          <w:sz w:val="24"/>
        </w:rPr>
      </w:pPr>
      <w:r>
        <w:rPr>
          <w:rFonts w:ascii="Times New Roman" w:hAnsi="Times New Roman"/>
          <w:color w:val="000000"/>
          <w:sz w:val="24"/>
        </w:rPr>
        <w:t>Pursuant to the requirements of the Securities Exchange Act of 1934, the registrant has duly caused this report to be signed on its behalf by the undersigned thereunto duly authorized.</w:t>
      </w:r>
    </w:p>
    <w:tbl>
      <w:tblPr>
        <w:tblW w:w="6566" w:type="dxa"/>
        <w:jc w:val="left"/>
        <w:tblInd w:w="0" w:type="dxa"/>
        <w:tblLayout w:type="fixed"/>
        <w:tblCellMar>
          <w:top w:w="28" w:type="dxa"/>
          <w:left w:w="28" w:type="dxa"/>
          <w:bottom w:w="28" w:type="dxa"/>
          <w:right w:w="28" w:type="dxa"/>
        </w:tblCellMar>
      </w:tblPr>
      <w:tblGrid>
        <w:gridCol w:w="631"/>
        <w:gridCol w:w="146"/>
        <w:gridCol w:w="1396"/>
        <w:gridCol w:w="451"/>
        <w:gridCol w:w="146"/>
        <w:gridCol w:w="3796"/>
      </w:tblGrid>
      <w:tr>
        <w:trPr/>
        <w:tc>
          <w:tcPr>
            <w:tcW w:w="6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96" w:type="dxa"/>
            <w:tcBorders/>
            <w:vAlign w:val="center"/>
          </w:tcPr>
          <w:p>
            <w:pPr>
              <w:pStyle w:val="TableContents"/>
              <w:bidi w:val="0"/>
              <w:spacing w:before="0" w:after="283"/>
              <w:jc w:val="left"/>
              <w:rPr>
                <w:sz w:val="4"/>
                <w:szCs w:val="4"/>
              </w:rPr>
            </w:pPr>
            <w:r>
              <w:rPr>
                <w:sz w:val="4"/>
                <w:szCs w:val="4"/>
              </w:rPr>
            </w:r>
          </w:p>
        </w:tc>
      </w:tr>
      <w:tr>
        <w:trPr/>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SEACOR Marine Holdings Inc.</w:t>
            </w:r>
          </w:p>
        </w:tc>
      </w:tr>
      <w:tr>
        <w:trPr/>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9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Date: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July 29, 2026</w:t>
            </w:r>
          </w:p>
        </w:tc>
        <w:tc>
          <w:tcPr>
            <w:tcW w:w="4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By: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96"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 John Gellert</w:t>
            </w:r>
          </w:p>
        </w:tc>
      </w:tr>
      <w:tr>
        <w:trPr/>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96" w:type="dxa"/>
            <w:tcBorders/>
            <w:tcMar>
              <w:top w:w="0" w:type="dxa"/>
              <w:left w:w="0" w:type="dxa"/>
              <w:bottom w:w="0" w:type="dxa"/>
              <w:right w:w="0" w:type="dxa"/>
            </w:tcMar>
            <w:vAlign w:val="center"/>
          </w:tcPr>
          <w:p>
            <w:pPr>
              <w:pStyle w:val="TableContents"/>
              <w:bidi w:val="0"/>
              <w:jc w:val="left"/>
              <w:rPr>
                <w:rFonts w:ascii="Times New Roman" w:hAnsi="Times New Roman"/>
                <w:sz w:val="24"/>
              </w:rPr>
            </w:pPr>
            <w:r>
              <w:rPr>
                <w:rFonts w:ascii="Times New Roman" w:hAnsi="Times New Roman"/>
                <w:color w:val="000000"/>
                <w:sz w:val="24"/>
              </w:rPr>
              <w:t xml:space="preserve">John Gellert, </w:t>
            </w:r>
            <w:r>
              <w:rPr>
                <w:rFonts w:ascii="Times New Roman" w:hAnsi="Times New Roman"/>
                <w:i/>
                <w:color w:val="000000"/>
                <w:sz w:val="24"/>
              </w:rPr>
              <w:t>President,</w:t>
            </w:r>
            <w:r>
              <w:rPr>
                <w:rFonts w:ascii="Times New Roman" w:hAnsi="Times New Roman"/>
                <w:color w:val="000000"/>
                <w:sz w:val="24"/>
              </w:rPr>
              <w:t xml:space="preserve"> </w:t>
            </w:r>
          </w:p>
          <w:p>
            <w:pPr>
              <w:pStyle w:val="TableContents"/>
              <w:bidi w:val="0"/>
              <w:jc w:val="left"/>
              <w:rPr>
                <w:rFonts w:ascii="Times New Roman" w:hAnsi="Times New Roman"/>
                <w:i/>
                <w:color w:val="000000"/>
                <w:sz w:val="24"/>
              </w:rPr>
            </w:pPr>
            <w:r>
              <w:rPr>
                <w:rFonts w:ascii="Times New Roman" w:hAnsi="Times New Roman"/>
                <w:i/>
                <w:color w:val="000000"/>
                <w:sz w:val="24"/>
              </w:rPr>
              <w:t>Chief Executive Officer</w:t>
            </w:r>
          </w:p>
          <w:p>
            <w:pPr>
              <w:pStyle w:val="TableContents"/>
              <w:bidi w:val="0"/>
              <w:spacing w:before="0" w:after="283"/>
              <w:jc w:val="left"/>
              <w:rPr>
                <w:rFonts w:ascii="Times New Roman" w:hAnsi="Times New Roman"/>
                <w:i/>
                <w:color w:val="000000"/>
                <w:sz w:val="24"/>
              </w:rPr>
            </w:pPr>
            <w:r>
              <w:rPr>
                <w:rFonts w:ascii="Times New Roman" w:hAnsi="Times New Roman"/>
                <w:i/>
                <w:color w:val="000000"/>
                <w:sz w:val="24"/>
              </w:rPr>
              <w:t>(Principal Executive Officer)</w:t>
            </w:r>
          </w:p>
        </w:tc>
      </w:tr>
      <w:tr>
        <w:trPr/>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9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Date: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July 29, 2026</w:t>
            </w:r>
          </w:p>
        </w:tc>
        <w:tc>
          <w:tcPr>
            <w:tcW w:w="4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By: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96"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 Jesús Llorca</w:t>
            </w:r>
          </w:p>
        </w:tc>
      </w:tr>
      <w:tr>
        <w:trPr/>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96" w:type="dxa"/>
            <w:tcBorders/>
            <w:tcMar>
              <w:top w:w="0" w:type="dxa"/>
              <w:left w:w="0" w:type="dxa"/>
              <w:bottom w:w="0" w:type="dxa"/>
              <w:right w:w="0" w:type="dxa"/>
            </w:tcMar>
            <w:vAlign w:val="center"/>
          </w:tcPr>
          <w:p>
            <w:pPr>
              <w:pStyle w:val="TableContents"/>
              <w:bidi w:val="0"/>
              <w:jc w:val="left"/>
              <w:rPr>
                <w:rFonts w:ascii="Times New Roman" w:hAnsi="Times New Roman"/>
                <w:sz w:val="24"/>
              </w:rPr>
            </w:pPr>
            <w:r>
              <w:rPr>
                <w:rFonts w:ascii="Times New Roman" w:hAnsi="Times New Roman"/>
                <w:color w:val="000000"/>
                <w:sz w:val="24"/>
              </w:rPr>
              <w:t xml:space="preserve">Jesús Llorca, </w:t>
            </w:r>
            <w:r>
              <w:rPr>
                <w:rFonts w:ascii="Times New Roman" w:hAnsi="Times New Roman"/>
                <w:i/>
                <w:color w:val="000000"/>
                <w:sz w:val="24"/>
              </w:rPr>
              <w:t>Executive Vice President</w:t>
            </w:r>
          </w:p>
          <w:p>
            <w:pPr>
              <w:pStyle w:val="TableContents"/>
              <w:bidi w:val="0"/>
              <w:jc w:val="left"/>
              <w:rPr>
                <w:rFonts w:ascii="Times New Roman" w:hAnsi="Times New Roman"/>
                <w:i/>
                <w:color w:val="000000"/>
                <w:sz w:val="24"/>
              </w:rPr>
            </w:pPr>
            <w:r>
              <w:rPr>
                <w:rFonts w:ascii="Times New Roman" w:hAnsi="Times New Roman"/>
                <w:i/>
                <w:color w:val="000000"/>
                <w:sz w:val="24"/>
              </w:rPr>
              <w:t>and Chief Financial Officer</w:t>
            </w:r>
          </w:p>
          <w:p>
            <w:pPr>
              <w:pStyle w:val="TableContents"/>
              <w:bidi w:val="0"/>
              <w:jc w:val="left"/>
              <w:rPr>
                <w:rFonts w:ascii="Times New Roman" w:hAnsi="Times New Roman"/>
                <w:i/>
                <w:color w:val="000000"/>
                <w:sz w:val="24"/>
              </w:rPr>
            </w:pPr>
            <w:r>
              <w:rPr>
                <w:rFonts w:ascii="Times New Roman" w:hAnsi="Times New Roman"/>
                <w:i/>
                <w:color w:val="000000"/>
                <w:sz w:val="24"/>
              </w:rPr>
              <w:t>(Principal Financial Officer)</w:t>
            </w:r>
          </w:p>
          <w:p>
            <w:pPr>
              <w:pStyle w:val="TableContents"/>
              <w:bidi w:val="0"/>
              <w:spacing w:before="0" w:after="283"/>
              <w:jc w:val="left"/>
              <w:rPr/>
            </w:pPr>
            <w:r>
              <w:rPr/>
              <w:t> </w:t>
            </w:r>
          </w:p>
        </w:tc>
      </w:tr>
      <w:tr>
        <w:trPr/>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Date: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July 29, 2026</w:t>
            </w:r>
          </w:p>
        </w:tc>
        <w:tc>
          <w:tcPr>
            <w:tcW w:w="4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By: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96"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 Gregory S. Rossmiller</w:t>
            </w:r>
          </w:p>
        </w:tc>
      </w:tr>
      <w:tr>
        <w:trPr/>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96"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4"/>
              </w:rPr>
            </w:pPr>
            <w:r>
              <w:rPr>
                <w:rFonts w:ascii="Times New Roman" w:hAnsi="Times New Roman"/>
                <w:color w:val="000000"/>
                <w:sz w:val="24"/>
              </w:rPr>
              <w:t>Gregory S. Rossmiller,</w:t>
            </w:r>
          </w:p>
          <w:p>
            <w:pPr>
              <w:pStyle w:val="TableContents"/>
              <w:bidi w:val="0"/>
              <w:jc w:val="left"/>
              <w:rPr>
                <w:rFonts w:ascii="Times New Roman" w:hAnsi="Times New Roman"/>
                <w:sz w:val="24"/>
              </w:rPr>
            </w:pPr>
            <w:r>
              <w:rPr>
                <w:rFonts w:ascii="Times New Roman" w:hAnsi="Times New Roman"/>
                <w:i/>
                <w:color w:val="000000"/>
                <w:sz w:val="24"/>
              </w:rPr>
              <w:t>Senior</w:t>
            </w:r>
            <w:r>
              <w:rPr>
                <w:rFonts w:ascii="Times New Roman" w:hAnsi="Times New Roman"/>
                <w:color w:val="000000"/>
                <w:sz w:val="24"/>
              </w:rPr>
              <w:t xml:space="preserve"> </w:t>
            </w:r>
            <w:r>
              <w:rPr>
                <w:rFonts w:ascii="Times New Roman" w:hAnsi="Times New Roman"/>
                <w:i/>
                <w:color w:val="000000"/>
                <w:sz w:val="24"/>
              </w:rPr>
              <w:t>Vice President</w:t>
            </w:r>
          </w:p>
          <w:p>
            <w:pPr>
              <w:pStyle w:val="TableContents"/>
              <w:bidi w:val="0"/>
              <w:jc w:val="left"/>
              <w:rPr>
                <w:rFonts w:ascii="Times New Roman" w:hAnsi="Times New Roman"/>
                <w:i/>
                <w:color w:val="000000"/>
                <w:sz w:val="24"/>
              </w:rPr>
            </w:pPr>
            <w:r>
              <w:rPr>
                <w:rFonts w:ascii="Times New Roman" w:hAnsi="Times New Roman"/>
                <w:i/>
                <w:color w:val="000000"/>
                <w:sz w:val="24"/>
              </w:rPr>
              <w:t>and Chief Accounting Officer</w:t>
            </w:r>
          </w:p>
          <w:p>
            <w:pPr>
              <w:pStyle w:val="TableContents"/>
              <w:bidi w:val="0"/>
              <w:jc w:val="left"/>
              <w:rPr>
                <w:rFonts w:ascii="Times New Roman" w:hAnsi="Times New Roman"/>
                <w:i/>
                <w:color w:val="000000"/>
                <w:sz w:val="24"/>
              </w:rPr>
            </w:pPr>
            <w:r>
              <w:rPr>
                <w:rFonts w:ascii="Times New Roman" w:hAnsi="Times New Roman"/>
                <w:i/>
                <w:color w:val="000000"/>
                <w:sz w:val="24"/>
              </w:rPr>
              <w:t>(Principal Accounting Officer)</w:t>
            </w:r>
          </w:p>
          <w:p>
            <w:pPr>
              <w:pStyle w:val="TableContents"/>
              <w:bidi w:val="0"/>
              <w:spacing w:before="0" w:after="283"/>
              <w:jc w:val="left"/>
              <w:rPr/>
            </w:pPr>
            <w:r>
              <w:rPr/>
              <w:t> </w:t>
            </w:r>
          </w:p>
        </w:tc>
      </w:tr>
    </w:tbl>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4"/>
        </w:rPr>
      </w:pPr>
      <w:r>
        <w:rPr>
          <w:rFonts w:ascii="Times New Roman" w:hAnsi="Times New Roman"/>
          <w:color w:val="000000"/>
          <w:sz w:val="24"/>
        </w:rPr>
        <w:t>46</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3" w:name="smhi-ex31_1.htm"/>
      <w:bookmarkStart w:id="24" w:name="kssmhiex31_1"/>
      <w:bookmarkEnd w:id="23"/>
      <w:bookmarkEnd w:id="24"/>
      <w:r>
        <w:rPr>
          <w:rFonts w:ascii="Times New Roman" w:hAnsi="Times New Roman"/>
          <w:b/>
          <w:color w:val="000000"/>
          <w:sz w:val="20"/>
        </w:rPr>
        <w:t>Exhibit 31.1</w:t>
      </w:r>
      <w:r>
        <w:br w:type="page"/>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OF CHIEF EXECUTIVE OFFICER</w:t>
      </w:r>
    </w:p>
    <w:p>
      <w:pPr>
        <w:pStyle w:val="TextBody"/>
        <w:bidi w:val="0"/>
        <w:jc w:val="center"/>
        <w:rPr>
          <w:rFonts w:ascii="Times New Roman" w:hAnsi="Times New Roman"/>
          <w:b/>
          <w:color w:val="000000"/>
          <w:sz w:val="20"/>
        </w:rPr>
      </w:pPr>
      <w:r>
        <w:rPr>
          <w:rFonts w:ascii="Times New Roman" w:hAnsi="Times New Roman"/>
          <w:b/>
          <w:color w:val="000000"/>
          <w:sz w:val="20"/>
        </w:rPr>
        <w:t>PURSUANT TO RULE 13a-14(a) AND 15d-14(a), AS AMENDED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John Gellert,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 I have reviewed this quarterly report on Form 10-Q of SEACOR Marine Holdings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 Any fraud, whether or not material, that involves management or other employees who have a significant role in the registrant's internal control over financial reporting.</w:t>
      </w:r>
    </w:p>
    <w:p>
      <w:pPr>
        <w:pStyle w:val="TextBody"/>
        <w:bidi w:val="0"/>
        <w:jc w:val="left"/>
        <w:rPr/>
      </w:pPr>
      <w:r>
        <w:rPr/>
        <w:t> </w:t>
      </w:r>
    </w:p>
    <w:tbl>
      <w:tblPr>
        <w:tblW w:w="3887" w:type="dxa"/>
        <w:jc w:val="left"/>
        <w:tblInd w:w="0" w:type="dxa"/>
        <w:tblLayout w:type="fixed"/>
        <w:tblCellMar>
          <w:top w:w="28" w:type="dxa"/>
          <w:left w:w="28" w:type="dxa"/>
          <w:bottom w:w="28" w:type="dxa"/>
          <w:right w:w="28" w:type="dxa"/>
        </w:tblCellMar>
      </w:tblPr>
      <w:tblGrid>
        <w:gridCol w:w="646"/>
        <w:gridCol w:w="3241"/>
      </w:tblGrid>
      <w:tr>
        <w:trPr/>
        <w:tc>
          <w:tcPr>
            <w:tcW w:w="646" w:type="dxa"/>
            <w:tcBorders/>
            <w:vAlign w:val="center"/>
          </w:tcPr>
          <w:p>
            <w:pPr>
              <w:pStyle w:val="TableContents"/>
              <w:bidi w:val="0"/>
              <w:spacing w:before="0" w:after="283"/>
              <w:jc w:val="left"/>
              <w:rPr>
                <w:sz w:val="4"/>
                <w:szCs w:val="4"/>
              </w:rPr>
            </w:pPr>
            <w:r>
              <w:rPr>
                <w:sz w:val="4"/>
                <w:szCs w:val="4"/>
              </w:rPr>
            </w:r>
          </w:p>
        </w:tc>
        <w:tc>
          <w:tcPr>
            <w:tcW w:w="3241" w:type="dxa"/>
            <w:tcBorders/>
            <w:vAlign w:val="center"/>
          </w:tcPr>
          <w:p>
            <w:pPr>
              <w:pStyle w:val="TableContents"/>
              <w:bidi w:val="0"/>
              <w:spacing w:before="0" w:after="283"/>
              <w:jc w:val="left"/>
              <w:rPr>
                <w:sz w:val="4"/>
                <w:szCs w:val="4"/>
              </w:rPr>
            </w:pPr>
            <w:r>
              <w:rPr>
                <w:sz w:val="4"/>
                <w:szCs w:val="4"/>
              </w:rPr>
            </w:r>
          </w:p>
        </w:tc>
      </w:tr>
      <w:tr>
        <w:trPr/>
        <w:tc>
          <w:tcPr>
            <w:tcW w:w="388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w:t>
            </w:r>
          </w:p>
        </w:tc>
        <w:tc>
          <w:tcPr>
            <w:tcW w:w="32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July 29, 2026</w:t>
            </w:r>
          </w:p>
        </w:tc>
      </w:tr>
      <w:tr>
        <w:trPr/>
        <w:tc>
          <w:tcPr>
            <w:tcW w:w="388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887"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John Gellert</w:t>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32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John Gellert</w:t>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3241" w:type="dxa"/>
            <w:tcBorders/>
            <w:tcMar>
              <w:top w:w="0" w:type="dxa"/>
              <w:left w:w="0" w:type="dxa"/>
              <w:bottom w:w="0" w:type="dxa"/>
              <w:right w:w="0" w:type="dxa"/>
            </w:tcMar>
            <w:vAlign w:val="center"/>
          </w:tcPr>
          <w:p>
            <w:pPr>
              <w:pStyle w:val="TableContents"/>
              <w:bidi w:val="0"/>
              <w:jc w:val="left"/>
              <w:rPr>
                <w:rFonts w:ascii="Times New Roman" w:hAnsi="Times New Roman"/>
                <w:i/>
                <w:color w:val="000000"/>
                <w:sz w:val="20"/>
              </w:rPr>
            </w:pPr>
            <w:r>
              <w:rPr>
                <w:rFonts w:ascii="Times New Roman" w:hAnsi="Times New Roman"/>
                <w:i/>
                <w:color w:val="000000"/>
                <w:sz w:val="20"/>
              </w:rPr>
              <w:t>President and Chief Executive Officer</w:t>
            </w:r>
          </w:p>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(Principal Executive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5" w:name="smhi-ex31_2.htm"/>
      <w:bookmarkStart w:id="26" w:name="kssmhiex31_2"/>
      <w:bookmarkEnd w:id="25"/>
      <w:bookmarkEnd w:id="26"/>
      <w:r>
        <w:rPr>
          <w:rFonts w:ascii="Times New Roman" w:hAnsi="Times New Roman"/>
          <w:b/>
          <w:color w:val="000000"/>
          <w:sz w:val="20"/>
        </w:rPr>
        <w:t>Exhibit 31.2</w:t>
      </w:r>
      <w:r>
        <w:br w:type="page"/>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BY THE PRINCIPAL FINANCIAL OFFICER PURSUANT TO</w:t>
      </w:r>
    </w:p>
    <w:p>
      <w:pPr>
        <w:pStyle w:val="TextBody"/>
        <w:bidi w:val="0"/>
        <w:jc w:val="center"/>
        <w:rPr>
          <w:rFonts w:ascii="Times New Roman" w:hAnsi="Times New Roman"/>
          <w:b/>
          <w:color w:val="000000"/>
          <w:sz w:val="20"/>
        </w:rPr>
      </w:pPr>
      <w:r>
        <w:rPr>
          <w:rFonts w:ascii="Times New Roman" w:hAnsi="Times New Roman"/>
          <w:b/>
          <w:color w:val="000000"/>
          <w:sz w:val="20"/>
        </w:rPr>
        <w:t>RULE 13a-14(a) AND RULE 15d-14(a), AS AMENDED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Jesús Llorca,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 I have reviewed this quarterly report on Form 10-Q of SEACOR Marine Holdings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 Any fraud, whether or not material, that involves management or other employees who have a significant role in the registrant's internal control over financial reporting.</w:t>
      </w:r>
    </w:p>
    <w:p>
      <w:pPr>
        <w:pStyle w:val="TextBody"/>
        <w:bidi w:val="0"/>
        <w:jc w:val="left"/>
        <w:rPr/>
      </w:pPr>
      <w:r>
        <w:rPr/>
        <w:t> </w:t>
      </w:r>
    </w:p>
    <w:tbl>
      <w:tblPr>
        <w:tblW w:w="3182" w:type="dxa"/>
        <w:jc w:val="left"/>
        <w:tblInd w:w="0" w:type="dxa"/>
        <w:tblLayout w:type="fixed"/>
        <w:tblCellMar>
          <w:top w:w="28" w:type="dxa"/>
          <w:left w:w="28" w:type="dxa"/>
          <w:bottom w:w="28" w:type="dxa"/>
          <w:right w:w="28" w:type="dxa"/>
        </w:tblCellMar>
      </w:tblPr>
      <w:tblGrid>
        <w:gridCol w:w="646"/>
        <w:gridCol w:w="2536"/>
      </w:tblGrid>
      <w:tr>
        <w:trPr/>
        <w:tc>
          <w:tcPr>
            <w:tcW w:w="646" w:type="dxa"/>
            <w:tcBorders/>
            <w:vAlign w:val="center"/>
          </w:tcPr>
          <w:p>
            <w:pPr>
              <w:pStyle w:val="TableContents"/>
              <w:bidi w:val="0"/>
              <w:spacing w:before="0" w:after="283"/>
              <w:jc w:val="left"/>
              <w:rPr>
                <w:sz w:val="4"/>
                <w:szCs w:val="4"/>
              </w:rPr>
            </w:pPr>
            <w:r>
              <w:rPr>
                <w:sz w:val="4"/>
                <w:szCs w:val="4"/>
              </w:rPr>
            </w:r>
          </w:p>
        </w:tc>
        <w:tc>
          <w:tcPr>
            <w:tcW w:w="2536" w:type="dxa"/>
            <w:tcBorders/>
            <w:vAlign w:val="center"/>
          </w:tcPr>
          <w:p>
            <w:pPr>
              <w:pStyle w:val="TableContents"/>
              <w:bidi w:val="0"/>
              <w:spacing w:before="0" w:after="283"/>
              <w:jc w:val="left"/>
              <w:rPr>
                <w:sz w:val="4"/>
                <w:szCs w:val="4"/>
              </w:rPr>
            </w:pPr>
            <w:r>
              <w:rPr>
                <w:sz w:val="4"/>
                <w:szCs w:val="4"/>
              </w:rPr>
            </w:r>
          </w:p>
        </w:tc>
      </w:tr>
      <w:tr>
        <w:trPr/>
        <w:tc>
          <w:tcPr>
            <w:tcW w:w="3182"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w:t>
            </w:r>
          </w:p>
        </w:tc>
        <w:tc>
          <w:tcPr>
            <w:tcW w:w="25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July 29, 2026</w:t>
            </w:r>
          </w:p>
        </w:tc>
      </w:tr>
      <w:tr>
        <w:trPr/>
        <w:tc>
          <w:tcPr>
            <w:tcW w:w="3182"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182"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Jesús Llorca</w:t>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25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Jesús Llorca</w:t>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2536" w:type="dxa"/>
            <w:tcBorders/>
            <w:tcMar>
              <w:top w:w="0" w:type="dxa"/>
              <w:left w:w="0" w:type="dxa"/>
              <w:bottom w:w="0" w:type="dxa"/>
              <w:right w:w="0" w:type="dxa"/>
            </w:tcMar>
            <w:vAlign w:val="center"/>
          </w:tcPr>
          <w:p>
            <w:pPr>
              <w:pStyle w:val="TableContents"/>
              <w:bidi w:val="0"/>
              <w:jc w:val="left"/>
              <w:rPr>
                <w:rFonts w:ascii="Times New Roman" w:hAnsi="Times New Roman"/>
                <w:i/>
                <w:color w:val="000000"/>
                <w:sz w:val="20"/>
              </w:rPr>
            </w:pPr>
            <w:r>
              <w:rPr>
                <w:rFonts w:ascii="Times New Roman" w:hAnsi="Times New Roman"/>
                <w:i/>
                <w:color w:val="000000"/>
                <w:sz w:val="20"/>
              </w:rPr>
              <w:t>Executive Vice President and</w:t>
            </w:r>
          </w:p>
          <w:p>
            <w:pPr>
              <w:pStyle w:val="TableContents"/>
              <w:bidi w:val="0"/>
              <w:jc w:val="left"/>
              <w:rPr>
                <w:rFonts w:ascii="Times New Roman" w:hAnsi="Times New Roman"/>
                <w:i/>
                <w:color w:val="000000"/>
                <w:sz w:val="20"/>
              </w:rPr>
            </w:pPr>
            <w:r>
              <w:rPr>
                <w:rFonts w:ascii="Times New Roman" w:hAnsi="Times New Roman"/>
                <w:i/>
                <w:color w:val="000000"/>
                <w:sz w:val="20"/>
              </w:rPr>
              <w:t>Chief Financial Officer</w:t>
            </w:r>
          </w:p>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(Principal Financial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7" w:name="smhi-ex32.htm"/>
      <w:bookmarkStart w:id="28" w:name="kssmhiex32"/>
      <w:bookmarkEnd w:id="27"/>
      <w:bookmarkEnd w:id="28"/>
      <w:r>
        <w:rPr>
          <w:rFonts w:ascii="Times New Roman" w:hAnsi="Times New Roman"/>
          <w:b/>
          <w:color w:val="000000"/>
          <w:sz w:val="20"/>
        </w:rPr>
        <w:t>Exhibit 32.1</w:t>
      </w:r>
      <w:r>
        <w:br w:type="page"/>
      </w:r>
    </w:p>
    <w:p>
      <w:pPr>
        <w:pStyle w:val="TextBody"/>
        <w:bidi w:val="0"/>
        <w:jc w:val="center"/>
        <w:rPr>
          <w:rFonts w:ascii="Times New Roman" w:hAnsi="Times New Roman"/>
          <w:b/>
          <w:color w:val="000000"/>
          <w:sz w:val="20"/>
        </w:rPr>
      </w:pPr>
      <w:r>
        <w:rPr>
          <w:rFonts w:ascii="Times New Roman" w:hAnsi="Times New Roman"/>
          <w:b/>
          <w:color w:val="000000"/>
          <w:sz w:val="20"/>
        </w:rPr>
        <w:t>CERTIFICATION OF CHIEF EXECUTIVE OFFICER</w:t>
      </w:r>
    </w:p>
    <w:p>
      <w:pPr>
        <w:pStyle w:val="TextBody"/>
        <w:bidi w:val="0"/>
        <w:jc w:val="center"/>
        <w:rPr>
          <w:rFonts w:ascii="Times New Roman" w:hAnsi="Times New Roman"/>
          <w:b/>
          <w:color w:val="000000"/>
          <w:sz w:val="20"/>
        </w:rPr>
      </w:pPr>
      <w:r>
        <w:rPr>
          <w:rFonts w:ascii="Times New Roman" w:hAnsi="Times New Roman"/>
          <w:b/>
          <w:color w:val="000000"/>
          <w:sz w:val="20"/>
        </w:rPr>
        <w:t>AND CHIEF FINANCIAL OFFICER PURSUANT TO 18 U.S.C. SECTION 1350,</w:t>
      </w:r>
    </w:p>
    <w:p>
      <w:pPr>
        <w:pStyle w:val="TextBody"/>
        <w:bidi w:val="0"/>
        <w:jc w:val="center"/>
        <w:rPr>
          <w:rFonts w:ascii="Times New Roman" w:hAnsi="Times New Roman"/>
          <w:b/>
          <w:color w:val="000000"/>
          <w:sz w:val="20"/>
        </w:rPr>
      </w:pPr>
      <w:r>
        <w:rPr>
          <w:rFonts w:ascii="Times New Roman" w:hAnsi="Times New Roman"/>
          <w:b/>
          <w:color w:val="000000"/>
          <w:sz w:val="20"/>
        </w:rPr>
        <w:t>AS ADOPTED BY SECTION 906 OF THE SARBANES-OXLEY ACT OF 2002</w:t>
      </w:r>
    </w:p>
    <w:p>
      <w:pPr>
        <w:pStyle w:val="TextBody"/>
        <w:bidi w:val="0"/>
        <w:jc w:val="center"/>
        <w:rPr/>
      </w:pPr>
      <w:r>
        <w:rPr/>
        <w:t> </w:t>
      </w:r>
    </w:p>
    <w:p>
      <w:pPr>
        <w:pStyle w:val="TextBody"/>
        <w:bidi w:val="0"/>
        <w:jc w:val="both"/>
        <w:rPr>
          <w:rFonts w:ascii="Times New Roman" w:hAnsi="Times New Roman"/>
          <w:color w:val="000000"/>
          <w:sz w:val="20"/>
        </w:rPr>
      </w:pPr>
      <w:r>
        <w:rPr>
          <w:rFonts w:ascii="Times New Roman" w:hAnsi="Times New Roman"/>
          <w:color w:val="000000"/>
          <w:sz w:val="20"/>
        </w:rPr>
        <w:t>Each of the undersigned, the Chief Executive Officer and the Chief Financial Officer of SEACOR Marine Holdings Inc. (the “Company”), hereby certifies, to the best of her/his knowledge and belief, that the Form 10-Q of the Company for the quarterly period ended June 30, 2026 (the “Periodic Report”) accompanying this certification fully complies with the requirements of Section 13(a) or 15(d) of the Securities Exchange Act of 1934, as amended, and that the information contained in the Periodic Report fairly presents, in all material respects, the financial condition and results of operations of the Company. This certification is provided solely for purposes of complying with the provisions of Section 906 of the Sarbanes-Oxley Act and is not intended to be used for any other purpose.</w:t>
      </w:r>
    </w:p>
    <w:p>
      <w:pPr>
        <w:pStyle w:val="TextBody"/>
        <w:bidi w:val="0"/>
        <w:jc w:val="both"/>
        <w:rPr/>
      </w:pPr>
      <w:r>
        <w:rPr/>
        <w:t> </w:t>
      </w:r>
    </w:p>
    <w:tbl>
      <w:tblPr>
        <w:tblW w:w="3887" w:type="dxa"/>
        <w:jc w:val="left"/>
        <w:tblInd w:w="0" w:type="dxa"/>
        <w:tblLayout w:type="fixed"/>
        <w:tblCellMar>
          <w:top w:w="28" w:type="dxa"/>
          <w:left w:w="28" w:type="dxa"/>
          <w:bottom w:w="28" w:type="dxa"/>
          <w:right w:w="28" w:type="dxa"/>
        </w:tblCellMar>
      </w:tblPr>
      <w:tblGrid>
        <w:gridCol w:w="646"/>
        <w:gridCol w:w="3241"/>
      </w:tblGrid>
      <w:tr>
        <w:trPr/>
        <w:tc>
          <w:tcPr>
            <w:tcW w:w="646" w:type="dxa"/>
            <w:tcBorders/>
            <w:vAlign w:val="center"/>
          </w:tcPr>
          <w:p>
            <w:pPr>
              <w:pStyle w:val="TableContents"/>
              <w:bidi w:val="0"/>
              <w:spacing w:before="0" w:after="283"/>
              <w:jc w:val="left"/>
              <w:rPr>
                <w:sz w:val="4"/>
                <w:szCs w:val="4"/>
              </w:rPr>
            </w:pPr>
            <w:r>
              <w:rPr>
                <w:sz w:val="4"/>
                <w:szCs w:val="4"/>
              </w:rPr>
            </w:r>
          </w:p>
        </w:tc>
        <w:tc>
          <w:tcPr>
            <w:tcW w:w="3241" w:type="dxa"/>
            <w:tcBorders/>
            <w:vAlign w:val="center"/>
          </w:tcPr>
          <w:p>
            <w:pPr>
              <w:pStyle w:val="TableContents"/>
              <w:bidi w:val="0"/>
              <w:spacing w:before="0" w:after="283"/>
              <w:jc w:val="left"/>
              <w:rPr>
                <w:sz w:val="4"/>
                <w:szCs w:val="4"/>
              </w:rPr>
            </w:pPr>
            <w:r>
              <w:rPr>
                <w:sz w:val="4"/>
                <w:szCs w:val="4"/>
              </w:rPr>
            </w:r>
          </w:p>
        </w:tc>
      </w:tr>
      <w:tr>
        <w:trPr/>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324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w:t>
            </w:r>
          </w:p>
        </w:tc>
        <w:tc>
          <w:tcPr>
            <w:tcW w:w="32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July 29, 2026</w:t>
            </w:r>
          </w:p>
        </w:tc>
      </w:tr>
      <w:tr>
        <w:trPr/>
        <w:tc>
          <w:tcPr>
            <w:tcW w:w="3887"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7" w:type="dxa"/>
            <w:gridSpan w:val="2"/>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John Gellert</w:t>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32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John Gellert</w:t>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3241" w:type="dxa"/>
            <w:tcBorders/>
            <w:tcMar>
              <w:top w:w="0" w:type="dxa"/>
              <w:left w:w="0" w:type="dxa"/>
              <w:bottom w:w="0" w:type="dxa"/>
              <w:right w:w="0" w:type="dxa"/>
            </w:tcMar>
            <w:vAlign w:val="center"/>
          </w:tcPr>
          <w:p>
            <w:pPr>
              <w:pStyle w:val="TableContents"/>
              <w:bidi w:val="0"/>
              <w:jc w:val="left"/>
              <w:rPr>
                <w:rFonts w:ascii="Times New Roman" w:hAnsi="Times New Roman"/>
                <w:i/>
                <w:color w:val="000000"/>
                <w:sz w:val="20"/>
              </w:rPr>
            </w:pPr>
            <w:r>
              <w:rPr>
                <w:rFonts w:ascii="Times New Roman" w:hAnsi="Times New Roman"/>
                <w:i/>
                <w:color w:val="000000"/>
                <w:sz w:val="20"/>
              </w:rPr>
              <w:t>President and Chief Executive Officer</w:t>
            </w:r>
          </w:p>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(Principal Executive Officer)</w:t>
            </w:r>
          </w:p>
        </w:tc>
      </w:tr>
    </w:tbl>
    <w:p>
      <w:pPr>
        <w:pStyle w:val="TextBody"/>
        <w:bidi w:val="0"/>
        <w:jc w:val="left"/>
        <w:rPr/>
      </w:pPr>
      <w:r>
        <w:rPr/>
        <w:t> </w:t>
      </w:r>
    </w:p>
    <w:tbl>
      <w:tblPr>
        <w:tblW w:w="3182" w:type="dxa"/>
        <w:jc w:val="left"/>
        <w:tblInd w:w="0" w:type="dxa"/>
        <w:tblLayout w:type="fixed"/>
        <w:tblCellMar>
          <w:top w:w="28" w:type="dxa"/>
          <w:left w:w="28" w:type="dxa"/>
          <w:bottom w:w="28" w:type="dxa"/>
          <w:right w:w="28" w:type="dxa"/>
        </w:tblCellMar>
      </w:tblPr>
      <w:tblGrid>
        <w:gridCol w:w="646"/>
        <w:gridCol w:w="2536"/>
      </w:tblGrid>
      <w:tr>
        <w:trPr/>
        <w:tc>
          <w:tcPr>
            <w:tcW w:w="646" w:type="dxa"/>
            <w:tcBorders/>
            <w:vAlign w:val="center"/>
          </w:tcPr>
          <w:p>
            <w:pPr>
              <w:pStyle w:val="TableContents"/>
              <w:bidi w:val="0"/>
              <w:spacing w:before="0" w:after="283"/>
              <w:jc w:val="left"/>
              <w:rPr>
                <w:sz w:val="4"/>
                <w:szCs w:val="4"/>
              </w:rPr>
            </w:pPr>
            <w:r>
              <w:rPr>
                <w:sz w:val="4"/>
                <w:szCs w:val="4"/>
              </w:rPr>
            </w:r>
          </w:p>
        </w:tc>
        <w:tc>
          <w:tcPr>
            <w:tcW w:w="2536" w:type="dxa"/>
            <w:tcBorders/>
            <w:vAlign w:val="center"/>
          </w:tcPr>
          <w:p>
            <w:pPr>
              <w:pStyle w:val="TableContents"/>
              <w:bidi w:val="0"/>
              <w:spacing w:before="0" w:after="283"/>
              <w:jc w:val="left"/>
              <w:rPr>
                <w:sz w:val="4"/>
                <w:szCs w:val="4"/>
              </w:rPr>
            </w:pPr>
            <w:r>
              <w:rPr>
                <w:sz w:val="4"/>
                <w:szCs w:val="4"/>
              </w:rPr>
            </w:r>
          </w:p>
        </w:tc>
      </w:tr>
      <w:tr>
        <w:trPr/>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3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w:t>
            </w:r>
          </w:p>
        </w:tc>
        <w:tc>
          <w:tcPr>
            <w:tcW w:w="25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July 29, 2026</w:t>
            </w:r>
          </w:p>
        </w:tc>
      </w:tr>
      <w:tr>
        <w:trPr/>
        <w:tc>
          <w:tcPr>
            <w:tcW w:w="3182"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2" w:type="dxa"/>
            <w:gridSpan w:val="2"/>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Jesús Llorca</w:t>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25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Jesús Llorca</w:t>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2536" w:type="dxa"/>
            <w:tcBorders/>
            <w:tcMar>
              <w:top w:w="0" w:type="dxa"/>
              <w:left w:w="0" w:type="dxa"/>
              <w:bottom w:w="0" w:type="dxa"/>
              <w:right w:w="0" w:type="dxa"/>
            </w:tcMar>
            <w:vAlign w:val="center"/>
          </w:tcPr>
          <w:p>
            <w:pPr>
              <w:pStyle w:val="TableContents"/>
              <w:bidi w:val="0"/>
              <w:jc w:val="left"/>
              <w:rPr>
                <w:rFonts w:ascii="Times New Roman" w:hAnsi="Times New Roman"/>
                <w:i/>
                <w:color w:val="000000"/>
                <w:sz w:val="20"/>
              </w:rPr>
            </w:pPr>
            <w:r>
              <w:rPr>
                <w:rFonts w:ascii="Times New Roman" w:hAnsi="Times New Roman"/>
                <w:i/>
                <w:color w:val="000000"/>
                <w:sz w:val="20"/>
              </w:rPr>
              <w:t>Executive Vice President and</w:t>
            </w:r>
          </w:p>
          <w:p>
            <w:pPr>
              <w:pStyle w:val="TableContents"/>
              <w:bidi w:val="0"/>
              <w:jc w:val="left"/>
              <w:rPr>
                <w:rFonts w:ascii="Times New Roman" w:hAnsi="Times New Roman"/>
                <w:i/>
                <w:color w:val="000000"/>
                <w:sz w:val="20"/>
              </w:rPr>
            </w:pPr>
            <w:r>
              <w:rPr>
                <w:rFonts w:ascii="Times New Roman" w:hAnsi="Times New Roman"/>
                <w:i/>
                <w:color w:val="000000"/>
                <w:sz w:val="20"/>
              </w:rPr>
              <w:t>Chief Financial Officer</w:t>
            </w:r>
          </w:p>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(Principal Financial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21482</Words>
  <Characters>112816</Characters>
  <CharactersWithSpaces>140072</CharactersWithSpaces>
  <Paragraphs>15239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